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F9" w:rsidRDefault="00E179F9">
      <w:pPr>
        <w:widowControl w:val="0"/>
        <w:autoSpaceDE w:val="0"/>
        <w:autoSpaceDN w:val="0"/>
        <w:adjustRightInd w:val="0"/>
        <w:spacing w:after="0" w:line="240" w:lineRule="auto"/>
        <w:rPr>
          <w:rFonts w:ascii="Arial" w:hAnsi="Arial" w:cs="Arial"/>
          <w:sz w:val="20"/>
          <w:szCs w:val="20"/>
        </w:rPr>
      </w:pPr>
    </w:p>
    <w:p w:rsidR="00E179F9" w:rsidRDefault="00E179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Пояснительная записка к докладу главы </w:t>
      </w:r>
    </w:p>
    <w:p w:rsidR="00E179F9" w:rsidRDefault="00E179F9">
      <w:pPr>
        <w:widowControl w:val="0"/>
        <w:autoSpaceDE w:val="0"/>
        <w:autoSpaceDN w:val="0"/>
        <w:adjustRightInd w:val="0"/>
        <w:spacing w:after="0" w:line="240" w:lineRule="auto"/>
        <w:jc w:val="center"/>
        <w:rPr>
          <w:rFonts w:ascii="Times New Roman CYR" w:hAnsi="Times New Roman CYR" w:cs="Times New Roman CYR"/>
          <w:sz w:val="28"/>
          <w:szCs w:val="28"/>
          <w:u w:val="single"/>
        </w:rPr>
      </w:pPr>
      <w:r>
        <w:rPr>
          <w:rFonts w:ascii="Times New Roman CYR" w:hAnsi="Times New Roman CYR" w:cs="Times New Roman CYR"/>
          <w:b/>
          <w:bCs/>
          <w:sz w:val="28"/>
          <w:szCs w:val="28"/>
          <w:u w:val="single"/>
        </w:rPr>
        <w:t xml:space="preserve">     </w:t>
      </w:r>
      <w:proofErr w:type="spellStart"/>
      <w:r>
        <w:rPr>
          <w:rFonts w:ascii="Times New Roman CYR" w:hAnsi="Times New Roman CYR" w:cs="Times New Roman CYR"/>
          <w:b/>
          <w:bCs/>
          <w:sz w:val="28"/>
          <w:szCs w:val="28"/>
          <w:u w:val="single"/>
        </w:rPr>
        <w:t>Боготольского</w:t>
      </w:r>
      <w:proofErr w:type="spellEnd"/>
      <w:r>
        <w:rPr>
          <w:rFonts w:ascii="Times New Roman CYR" w:hAnsi="Times New Roman CYR" w:cs="Times New Roman CYR"/>
          <w:b/>
          <w:bCs/>
          <w:sz w:val="28"/>
          <w:szCs w:val="28"/>
          <w:u w:val="single"/>
        </w:rPr>
        <w:t xml:space="preserve"> муниципального района</w:t>
      </w:r>
      <w:r>
        <w:rPr>
          <w:rFonts w:ascii="Times New Roman CYR" w:hAnsi="Times New Roman CYR" w:cs="Times New Roman CYR"/>
          <w:sz w:val="28"/>
          <w:szCs w:val="28"/>
          <w:u w:val="single"/>
        </w:rPr>
        <w:t>___</w:t>
      </w:r>
    </w:p>
    <w:p w:rsidR="00E179F9" w:rsidRDefault="00E179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наименование городского округа (муниципального района)</w:t>
      </w:r>
    </w:p>
    <w:p w:rsidR="00E179F9" w:rsidRDefault="00E179F9">
      <w:pPr>
        <w:autoSpaceDE w:val="0"/>
        <w:autoSpaceDN w:val="0"/>
        <w:adjustRightInd w:val="0"/>
        <w:spacing w:after="16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 достигнутых значениях показателей для оценки </w:t>
      </w:r>
      <w:proofErr w:type="gramStart"/>
      <w:r>
        <w:rPr>
          <w:rFonts w:ascii="Times New Roman CYR" w:hAnsi="Times New Roman CYR" w:cs="Times New Roman CYR"/>
          <w:b/>
          <w:bCs/>
          <w:sz w:val="28"/>
          <w:szCs w:val="28"/>
        </w:rPr>
        <w:t xml:space="preserve">эффективности деятельности органов местного самоуправления </w:t>
      </w:r>
      <w:r>
        <w:rPr>
          <w:rFonts w:ascii="Times New Roman CYR" w:hAnsi="Times New Roman CYR" w:cs="Times New Roman CYR"/>
          <w:b/>
          <w:bCs/>
          <w:sz w:val="28"/>
          <w:szCs w:val="28"/>
        </w:rPr>
        <w:br/>
        <w:t>городских округов</w:t>
      </w:r>
      <w:proofErr w:type="gramEnd"/>
      <w:r>
        <w:rPr>
          <w:rFonts w:ascii="Times New Roman CYR" w:hAnsi="Times New Roman CYR" w:cs="Times New Roman CYR"/>
          <w:b/>
          <w:bCs/>
          <w:sz w:val="28"/>
          <w:szCs w:val="28"/>
        </w:rPr>
        <w:t xml:space="preserve"> и муниципальных районов </w:t>
      </w:r>
      <w:r>
        <w:rPr>
          <w:rFonts w:ascii="Times New Roman CYR" w:hAnsi="Times New Roman CYR" w:cs="Times New Roman CYR"/>
          <w:b/>
          <w:bCs/>
          <w:sz w:val="28"/>
          <w:szCs w:val="28"/>
        </w:rPr>
        <w:br/>
        <w:t>за 2016 год и их планируемых значениях на 3-летний период</w:t>
      </w:r>
    </w:p>
    <w:p w:rsidR="00E179F9" w:rsidRDefault="00E179F9">
      <w:pPr>
        <w:widowControl w:val="0"/>
        <w:autoSpaceDE w:val="0"/>
        <w:autoSpaceDN w:val="0"/>
        <w:adjustRightInd w:val="0"/>
        <w:spacing w:after="0" w:line="240" w:lineRule="auto"/>
        <w:rPr>
          <w:rFonts w:ascii="Arial" w:hAnsi="Arial" w:cs="Arial"/>
          <w:sz w:val="20"/>
          <w:szCs w:val="20"/>
        </w:rPr>
      </w:pPr>
    </w:p>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CB01C4" w:rsidRDefault="00E179F9" w:rsidP="00CB01C4">
      <w:pPr>
        <w:widowControl w:val="0"/>
        <w:numPr>
          <w:ilvl w:val="0"/>
          <w:numId w:val="1"/>
        </w:numPr>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Экономическое развитие</w:t>
      </w:r>
      <w:proofErr w:type="gramStart"/>
      <w:r>
        <w:rPr>
          <w:rFonts w:ascii="Times New Roman CYR" w:hAnsi="Times New Roman CYR" w:cs="Times New Roman CYR"/>
          <w:b/>
          <w:bCs/>
          <w:color w:val="000000"/>
          <w:sz w:val="28"/>
          <w:szCs w:val="28"/>
        </w:rPr>
        <w:t xml:space="preserve"> </w:t>
      </w:r>
      <w:r w:rsidR="00CB01C4">
        <w:rPr>
          <w:rFonts w:ascii="Times New Roman CYR" w:hAnsi="Times New Roman CYR" w:cs="Times New Roman CYR"/>
          <w:b/>
          <w:bCs/>
          <w:color w:val="000000"/>
          <w:sz w:val="28"/>
          <w:szCs w:val="28"/>
        </w:rPr>
        <w:t>.</w:t>
      </w:r>
      <w:proofErr w:type="gramEnd"/>
    </w:p>
    <w:p w:rsidR="00E179F9" w:rsidRPr="00CB01C4" w:rsidRDefault="00E179F9" w:rsidP="00CB01C4">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sz w:val="28"/>
          <w:szCs w:val="28"/>
        </w:rPr>
        <w:t xml:space="preserve">Население и занятость. </w:t>
      </w:r>
      <w:proofErr w:type="gramStart"/>
      <w:r>
        <w:rPr>
          <w:rFonts w:ascii="Times New Roman CYR" w:hAnsi="Times New Roman CYR" w:cs="Times New Roman CYR"/>
          <w:sz w:val="28"/>
          <w:szCs w:val="28"/>
        </w:rPr>
        <w:t>На конец</w:t>
      </w:r>
      <w:proofErr w:type="gramEnd"/>
      <w:r>
        <w:rPr>
          <w:rFonts w:ascii="Times New Roman CYR" w:hAnsi="Times New Roman CYR" w:cs="Times New Roman CYR"/>
          <w:sz w:val="28"/>
          <w:szCs w:val="28"/>
        </w:rPr>
        <w:t xml:space="preserve"> 2016 года  на территории района проживало 10 038 чел. Административный центр района – город Боготол.  Всего на территории района восемь сельских поселений с тридцатью восьмью населенными пунктами. </w:t>
      </w:r>
    </w:p>
    <w:p w:rsidR="00E179F9" w:rsidRDefault="00E179F9">
      <w:pPr>
        <w:autoSpaceDE w:val="0"/>
        <w:autoSpaceDN w:val="0"/>
        <w:adjustRightInd w:val="0"/>
        <w:spacing w:before="24" w:after="192"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Численность населения в трудоспособном возрасте – 5,6 тыс</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 xml:space="preserve">ел. или 55,8 % от численности населения района. В экономике района занято 5,3 тыс. человек. </w:t>
      </w:r>
    </w:p>
    <w:p w:rsidR="00E179F9" w:rsidRDefault="00E179F9">
      <w:pPr>
        <w:autoSpaceDE w:val="0"/>
        <w:autoSpaceDN w:val="0"/>
        <w:adjustRightInd w:val="0"/>
        <w:spacing w:before="24" w:after="192" w:line="240" w:lineRule="auto"/>
        <w:ind w:firstLine="709"/>
        <w:contextualSpacing/>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рынке труда и в сфере занятости населения района в 2015 году сохранялись положительные тенденции:</w:t>
      </w:r>
    </w:p>
    <w:p w:rsidR="00E179F9" w:rsidRDefault="00E179F9">
      <w:pPr>
        <w:autoSpaceDE w:val="0"/>
        <w:autoSpaceDN w:val="0"/>
        <w:adjustRightInd w:val="0"/>
        <w:spacing w:after="0" w:line="240" w:lineRule="auto"/>
        <w:contextualSpacing/>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снижение напряженности на рынке труда,</w:t>
      </w:r>
    </w:p>
    <w:p w:rsidR="00E179F9" w:rsidRDefault="00E179F9">
      <w:pPr>
        <w:autoSpaceDE w:val="0"/>
        <w:autoSpaceDN w:val="0"/>
        <w:adjustRightInd w:val="0"/>
        <w:spacing w:after="0" w:line="240" w:lineRule="auto"/>
        <w:contextualSpacing/>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снижение уровня безработицы до 2,3% (на 0,6единицы).</w:t>
      </w:r>
    </w:p>
    <w:p w:rsidR="00CB01C4" w:rsidRDefault="00E179F9" w:rsidP="00CB01C4">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Промышленность</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представлена следующими предприятиями:</w:t>
      </w:r>
    </w:p>
    <w:p w:rsidR="00CB01C4" w:rsidRDefault="00CB01C4" w:rsidP="00CB01C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color w:val="000000"/>
          <w:sz w:val="28"/>
          <w:szCs w:val="28"/>
        </w:rPr>
        <w:t>-</w:t>
      </w:r>
      <w:r w:rsidR="00E179F9">
        <w:rPr>
          <w:rFonts w:ascii="Times New Roman CYR" w:hAnsi="Times New Roman CYR" w:cs="Times New Roman CYR"/>
          <w:sz w:val="28"/>
          <w:szCs w:val="28"/>
        </w:rPr>
        <w:t>КГУ «</w:t>
      </w:r>
      <w:proofErr w:type="spellStart"/>
      <w:r w:rsidR="00E179F9">
        <w:rPr>
          <w:rFonts w:ascii="Times New Roman CYR" w:hAnsi="Times New Roman CYR" w:cs="Times New Roman CYR"/>
          <w:sz w:val="28"/>
          <w:szCs w:val="28"/>
        </w:rPr>
        <w:t>Боготольское</w:t>
      </w:r>
      <w:proofErr w:type="spellEnd"/>
      <w:r w:rsidR="00E179F9">
        <w:rPr>
          <w:rFonts w:ascii="Times New Roman CYR" w:hAnsi="Times New Roman CYR" w:cs="Times New Roman CYR"/>
          <w:sz w:val="28"/>
          <w:szCs w:val="28"/>
        </w:rPr>
        <w:t xml:space="preserve"> лесничество»- заготовка древесины</w:t>
      </w:r>
      <w:proofErr w:type="gramStart"/>
      <w:r w:rsidR="00E179F9">
        <w:rPr>
          <w:rFonts w:ascii="Times New Roman CYR" w:hAnsi="Times New Roman CYR" w:cs="Times New Roman CYR"/>
          <w:sz w:val="28"/>
          <w:szCs w:val="28"/>
        </w:rPr>
        <w:t xml:space="preserve"> ;</w:t>
      </w:r>
      <w:proofErr w:type="gramEnd"/>
    </w:p>
    <w:p w:rsidR="00CB01C4" w:rsidRDefault="00CB01C4" w:rsidP="00CB01C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sidR="00E179F9">
        <w:rPr>
          <w:rFonts w:ascii="Times New Roman CYR" w:hAnsi="Times New Roman CYR" w:cs="Times New Roman CYR"/>
          <w:sz w:val="28"/>
          <w:szCs w:val="28"/>
        </w:rPr>
        <w:t>МУП «РТЭК» - услуги теплоснабжения, вывоз жидких бытовых отходов;</w:t>
      </w:r>
    </w:p>
    <w:p w:rsidR="00CB01C4" w:rsidRDefault="00CB01C4" w:rsidP="00CB01C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sidR="00E179F9">
        <w:rPr>
          <w:rFonts w:ascii="Times New Roman CYR" w:hAnsi="Times New Roman CYR" w:cs="Times New Roman CYR"/>
          <w:sz w:val="28"/>
          <w:szCs w:val="28"/>
        </w:rPr>
        <w:t xml:space="preserve">МКП «Услуга» </w:t>
      </w:r>
      <w:proofErr w:type="gramStart"/>
      <w:r w:rsidR="00E179F9">
        <w:rPr>
          <w:rFonts w:ascii="Times New Roman CYR" w:hAnsi="Times New Roman CYR" w:cs="Times New Roman CYR"/>
          <w:sz w:val="28"/>
          <w:szCs w:val="28"/>
        </w:rPr>
        <w:t>и ООО</w:t>
      </w:r>
      <w:proofErr w:type="gramEnd"/>
      <w:r w:rsidR="00E179F9">
        <w:rPr>
          <w:rFonts w:ascii="Times New Roman CYR" w:hAnsi="Times New Roman CYR" w:cs="Times New Roman CYR"/>
          <w:sz w:val="28"/>
          <w:szCs w:val="28"/>
        </w:rPr>
        <w:t xml:space="preserve"> «Водоканал» - услуги водоснабжения;</w:t>
      </w:r>
    </w:p>
    <w:p w:rsidR="00E179F9" w:rsidRDefault="00CB01C4" w:rsidP="00CB01C4">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sz w:val="28"/>
          <w:szCs w:val="28"/>
        </w:rPr>
        <w:t>-</w:t>
      </w:r>
      <w:r w:rsidR="00E179F9">
        <w:rPr>
          <w:rFonts w:ascii="Times New Roman CYR" w:hAnsi="Times New Roman CYR" w:cs="Times New Roman CYR"/>
          <w:color w:val="000000"/>
          <w:sz w:val="28"/>
          <w:szCs w:val="28"/>
        </w:rPr>
        <w:t>Филиал ОАО «МРСК Сибири»- «Красноярскэнерго»- услуги энергоснабжения;</w:t>
      </w:r>
    </w:p>
    <w:p w:rsidR="00CB01C4" w:rsidRPr="00CB01C4" w:rsidRDefault="00E179F9" w:rsidP="00CB01C4">
      <w:pPr>
        <w:tabs>
          <w:tab w:val="left" w:pos="3686"/>
        </w:tabs>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Обрабатывающее производство представлено субъектами малого предпринимательства: </w:t>
      </w:r>
      <w:r>
        <w:rPr>
          <w:rFonts w:ascii="Times New Roman CYR" w:hAnsi="Times New Roman CYR" w:cs="Times New Roman CYR"/>
          <w:sz w:val="28"/>
          <w:szCs w:val="28"/>
        </w:rPr>
        <w:t>ООО «Боготол-хлеб», ООО «Дубравушка»(с</w:t>
      </w:r>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 xml:space="preserve">ольшая Косуль) и ИП </w:t>
      </w:r>
      <w:proofErr w:type="spellStart"/>
      <w:r>
        <w:rPr>
          <w:rFonts w:ascii="Times New Roman CYR" w:hAnsi="Times New Roman CYR" w:cs="Times New Roman CYR"/>
          <w:sz w:val="28"/>
          <w:szCs w:val="28"/>
        </w:rPr>
        <w:t>Кусамин</w:t>
      </w:r>
      <w:proofErr w:type="spellEnd"/>
      <w:r>
        <w:rPr>
          <w:rFonts w:ascii="Times New Roman CYR" w:hAnsi="Times New Roman CYR" w:cs="Times New Roman CYR"/>
          <w:sz w:val="28"/>
          <w:szCs w:val="28"/>
        </w:rPr>
        <w:t xml:space="preserve"> Н.М. (с.Александровка), И.П. Григорян Г.Г. (с.Боготол) видом деятельности "Производство хлеба и хлебобулочных изделий".</w:t>
      </w:r>
    </w:p>
    <w:p w:rsidR="00CB01C4" w:rsidRDefault="00E179F9" w:rsidP="00CB01C4">
      <w:pPr>
        <w:tabs>
          <w:tab w:val="left" w:pos="368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color w:val="000000"/>
          <w:sz w:val="28"/>
          <w:szCs w:val="28"/>
        </w:rPr>
        <w:t xml:space="preserve">Сельскохозяйственное производство. </w:t>
      </w:r>
      <w:r>
        <w:rPr>
          <w:rFonts w:ascii="Times New Roman CYR" w:hAnsi="Times New Roman CYR" w:cs="Times New Roman CYR"/>
          <w:sz w:val="28"/>
          <w:szCs w:val="28"/>
        </w:rPr>
        <w:t>Основное производство продукции сельского хозяйства сосредоточено в 7 сельскохозяйственных предприятиях, 1 кооперативе, 10 крестьянских фермерских хозяйствах, зарегистрированных в реестре субъектов агропромышленного комплекса, а также в 3800 личных подсобных хозяйствах.</w:t>
      </w:r>
    </w:p>
    <w:p w:rsidR="00E179F9" w:rsidRDefault="00E179F9" w:rsidP="00CB01C4">
      <w:pPr>
        <w:tabs>
          <w:tab w:val="left" w:pos="368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color w:val="000000"/>
          <w:sz w:val="28"/>
          <w:szCs w:val="28"/>
        </w:rPr>
        <w:t xml:space="preserve">Малое предпринимательство. </w:t>
      </w:r>
      <w:r>
        <w:rPr>
          <w:rFonts w:ascii="Times New Roman CYR" w:hAnsi="Times New Roman CYR" w:cs="Times New Roman CYR"/>
          <w:sz w:val="28"/>
          <w:szCs w:val="28"/>
        </w:rPr>
        <w:t xml:space="preserve">На 01.01.2016 года на территории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зарегистрировано 49 организаций малого бизнеса (юридических лиц) и 176 индивидуальных предпринимателей.  </w:t>
      </w:r>
    </w:p>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CB01C4" w:rsidRDefault="00CB01C4">
      <w:pPr>
        <w:widowControl w:val="0"/>
        <w:autoSpaceDE w:val="0"/>
        <w:autoSpaceDN w:val="0"/>
        <w:adjustRightInd w:val="0"/>
        <w:spacing w:after="0" w:line="240" w:lineRule="auto"/>
        <w:rPr>
          <w:rFonts w:ascii="Times New Roman" w:hAnsi="Times New Roman" w:cs="Times New Roman"/>
          <w:b/>
          <w:bCs/>
          <w:color w:val="000000"/>
          <w:sz w:val="28"/>
          <w:szCs w:val="28"/>
        </w:rPr>
      </w:pPr>
    </w:p>
    <w:p w:rsidR="00CB01C4" w:rsidRDefault="00CB01C4">
      <w:pPr>
        <w:widowControl w:val="0"/>
        <w:autoSpaceDE w:val="0"/>
        <w:autoSpaceDN w:val="0"/>
        <w:adjustRightInd w:val="0"/>
        <w:spacing w:after="0" w:line="240" w:lineRule="auto"/>
        <w:rPr>
          <w:rFonts w:ascii="Times New Roman" w:hAnsi="Times New Roman" w:cs="Times New Roman"/>
          <w:b/>
          <w:bCs/>
          <w:color w:val="000000"/>
          <w:sz w:val="28"/>
          <w:szCs w:val="28"/>
        </w:rPr>
      </w:pPr>
    </w:p>
    <w:p w:rsidR="00E179F9" w:rsidRDefault="00E179F9">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1. </w:t>
      </w:r>
      <w:r>
        <w:rPr>
          <w:rFonts w:ascii="Times New Roman CYR" w:hAnsi="Times New Roman CYR" w:cs="Times New Roman CYR"/>
          <w:b/>
          <w:bCs/>
          <w:color w:val="000000"/>
          <w:sz w:val="28"/>
          <w:szCs w:val="28"/>
        </w:rPr>
        <w:t>Число субъектов малого и среднего предпринимательства</w:t>
      </w:r>
    </w:p>
    <w:p w:rsidR="00E179F9" w:rsidRDefault="00E179F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rPr>
        <w:lastRenderedPageBreak/>
        <w:tab/>
      </w:r>
      <w:r>
        <w:rPr>
          <w:rFonts w:ascii="Times New Roman CYR" w:hAnsi="Times New Roman CYR" w:cs="Times New Roman CYR"/>
          <w:color w:val="000000"/>
          <w:sz w:val="28"/>
          <w:szCs w:val="28"/>
        </w:rPr>
        <w:t xml:space="preserve">На 01.01.2016 года в </w:t>
      </w:r>
      <w:proofErr w:type="spellStart"/>
      <w:r>
        <w:rPr>
          <w:rFonts w:ascii="Times New Roman CYR" w:hAnsi="Times New Roman CYR" w:cs="Times New Roman CYR"/>
          <w:color w:val="000000"/>
          <w:sz w:val="28"/>
          <w:szCs w:val="28"/>
        </w:rPr>
        <w:t>Боготольском</w:t>
      </w:r>
      <w:proofErr w:type="spellEnd"/>
      <w:r>
        <w:rPr>
          <w:rFonts w:ascii="Times New Roman CYR" w:hAnsi="Times New Roman CYR" w:cs="Times New Roman CYR"/>
          <w:color w:val="000000"/>
          <w:sz w:val="28"/>
          <w:szCs w:val="28"/>
        </w:rPr>
        <w:t xml:space="preserve"> районе состоит на учете 225 субъектов малого предпринимательства, в том числе 176 индивидуальных предпринимателей и 49 юридических лиц.  </w:t>
      </w:r>
    </w:p>
    <w:p w:rsidR="00E179F9" w:rsidRDefault="00E179F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color w:val="000000"/>
          <w:sz w:val="28"/>
          <w:szCs w:val="28"/>
        </w:rPr>
        <w:t>В 2016 году число субъектов малого и среднего предпринимательства на 10000 человек населения увеличилось по сравнению с 2015 годом на 2,93 единиц и составило 222,47 единиц. К 2019 году этот показатель составит 231,36 единиц.</w:t>
      </w:r>
    </w:p>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179F9" w:rsidRDefault="00E179F9" w:rsidP="00CB01C4">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2. </w:t>
      </w:r>
      <w:r>
        <w:rPr>
          <w:rFonts w:ascii="Times New Roman CYR" w:hAnsi="Times New Roman CYR" w:cs="Times New Roman CYR"/>
          <w:b/>
          <w:bCs/>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E179F9" w:rsidRDefault="00E179F9">
      <w:pPr>
        <w:widowControl w:val="0"/>
        <w:autoSpaceDE w:val="0"/>
        <w:autoSpaceDN w:val="0"/>
        <w:adjustRightInd w:val="0"/>
        <w:spacing w:after="0" w:line="240" w:lineRule="auto"/>
        <w:rPr>
          <w:rFonts w:ascii="Arial CYR" w:hAnsi="Arial CYR" w:cs="Arial CYR"/>
          <w:sz w:val="28"/>
          <w:szCs w:val="28"/>
        </w:rPr>
      </w:pPr>
      <w:r>
        <w:rPr>
          <w:rFonts w:ascii="Times New Roman CYR" w:hAnsi="Times New Roman CYR" w:cs="Times New Roman CYR"/>
        </w:rPr>
        <w:tab/>
      </w:r>
      <w:r>
        <w:rPr>
          <w:rFonts w:ascii="Times New Roman CYR" w:hAnsi="Times New Roman CYR" w:cs="Times New Roman CYR"/>
          <w:sz w:val="28"/>
          <w:szCs w:val="28"/>
        </w:rPr>
        <w:t xml:space="preserve">За 2016 год среднесписочная численность работников организаций по полному кругу по </w:t>
      </w:r>
      <w:proofErr w:type="spellStart"/>
      <w:r>
        <w:rPr>
          <w:rFonts w:ascii="Times New Roman CYR" w:hAnsi="Times New Roman CYR" w:cs="Times New Roman CYR"/>
          <w:sz w:val="28"/>
          <w:szCs w:val="28"/>
        </w:rPr>
        <w:t>Боготольскому</w:t>
      </w:r>
      <w:proofErr w:type="spellEnd"/>
      <w:r>
        <w:rPr>
          <w:rFonts w:ascii="Times New Roman CYR" w:hAnsi="Times New Roman CYR" w:cs="Times New Roman CYR"/>
          <w:sz w:val="28"/>
          <w:szCs w:val="28"/>
        </w:rPr>
        <w:t xml:space="preserve"> району, включая малый бизнес, составила 1676 человек. В их числе доля среднесписочной численности работников малых и средних предприятий составила 50,39%.  Снижение среднесписочной численности связанно с сокращением численности в сфере сельского хозяйства на 20,8% за счет ликвидации организаций. К 2019 году планируется увеличения среднесписочной численности работников в сельском хозяйстве за счет открытия новых организаций в этой сфере. Доля среднесписочной численности работников малых и средних предприятий в 2019 году составит 50,62%.</w:t>
      </w:r>
    </w:p>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179F9" w:rsidRDefault="00E179F9" w:rsidP="00CB01C4">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3. </w:t>
      </w:r>
      <w:r>
        <w:rPr>
          <w:rFonts w:ascii="Times New Roman CYR" w:hAnsi="Times New Roman CYR" w:cs="Times New Roman CYR"/>
          <w:b/>
          <w:bCs/>
          <w:color w:val="000000"/>
          <w:sz w:val="28"/>
          <w:szCs w:val="28"/>
        </w:rPr>
        <w:t>Объем инвестиций в основной капитал (за исключением бюджетных средств) в расчете на 1 человека</w:t>
      </w: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color w:val="000000"/>
        </w:rPr>
        <w:tab/>
      </w:r>
      <w:r>
        <w:rPr>
          <w:rFonts w:ascii="Times New Roman CYR" w:hAnsi="Times New Roman CYR" w:cs="Times New Roman CYR"/>
          <w:sz w:val="28"/>
          <w:szCs w:val="28"/>
        </w:rPr>
        <w:t>Объем инвестиций в основной капитал за счет всех источников финансирования в 2016 году составил 313781 тыс</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 что на 11 % больше 2015года.  Основная доля инвестиций приходится на отрасль «Транспорт и связь»  308144 тыс</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уб. и составляет 98,2 % в общей сумме инвестиционных вложений. В 2017 году продолжатся работы  по капитальному ремонту и реконструкции линии нефтепровода на территории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(НПС «Каштан»). Ожидаемый объем инвестиционных вложений  ОАО «</w:t>
      </w:r>
      <w:proofErr w:type="spellStart"/>
      <w:r>
        <w:rPr>
          <w:rFonts w:ascii="Times New Roman CYR" w:hAnsi="Times New Roman CYR" w:cs="Times New Roman CYR"/>
          <w:sz w:val="28"/>
          <w:szCs w:val="28"/>
        </w:rPr>
        <w:t>Трансибнефть</w:t>
      </w:r>
      <w:proofErr w:type="spellEnd"/>
      <w:r>
        <w:rPr>
          <w:rFonts w:ascii="Times New Roman CYR" w:hAnsi="Times New Roman CYR" w:cs="Times New Roman CYR"/>
          <w:sz w:val="28"/>
          <w:szCs w:val="28"/>
        </w:rPr>
        <w:t>» в 2017 году  278540 тыс</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w:t>
      </w:r>
    </w:p>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С 2018  года  ожидается снижение инвестиций по вышеуказанной отрасли, в связи с тем, что основные работы по капитальному ремонту и реконструкции линии нефтепровода на территории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(НПС «Каштан»)  планируется завершить.</w:t>
      </w:r>
    </w:p>
    <w:p w:rsidR="00CB01C4" w:rsidRDefault="00E179F9">
      <w:pPr>
        <w:autoSpaceDE w:val="0"/>
        <w:autoSpaceDN w:val="0"/>
        <w:adjustRightInd w:val="0"/>
        <w:spacing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t>Объем инвестиций за счет всех источников финансирования (без субъектов малого предпринимательства) в 2018 году составит 99850 тыс. руб., в 2019 году 99900 тыс</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w:t>
      </w:r>
    </w:p>
    <w:p w:rsidR="00E179F9" w:rsidRDefault="00CB01C4">
      <w:pPr>
        <w:autoSpaceDE w:val="0"/>
        <w:autoSpaceDN w:val="0"/>
        <w:adjustRightInd w:val="0"/>
        <w:spacing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r>
      <w:r w:rsidR="00E179F9">
        <w:rPr>
          <w:rFonts w:ascii="Times New Roman CYR" w:hAnsi="Times New Roman CYR" w:cs="Times New Roman CYR"/>
          <w:sz w:val="28"/>
          <w:szCs w:val="28"/>
        </w:rPr>
        <w:t>Объем инвестиций в основной капитал (за исключением бюджетных средств) в расчете на 1 человека населения в 2016 году составил 30615,8 руб. (на 12,8% больше 2015 года). К 2019 году ожидается снижение этого показателя  до 9856 руб.</w:t>
      </w:r>
    </w:p>
    <w:p w:rsidR="00E179F9" w:rsidRDefault="00E179F9">
      <w:pPr>
        <w:autoSpaceDE w:val="0"/>
        <w:autoSpaceDN w:val="0"/>
        <w:adjustRightInd w:val="0"/>
        <w:spacing w:after="0" w:line="240" w:lineRule="auto"/>
        <w:jc w:val="both"/>
        <w:rPr>
          <w:rFonts w:ascii="Arial CYR" w:hAnsi="Arial CYR" w:cs="Arial CYR"/>
          <w:sz w:val="28"/>
          <w:szCs w:val="28"/>
        </w:rPr>
      </w:pPr>
      <w:r>
        <w:rPr>
          <w:rFonts w:ascii="Times New Roman CYR" w:hAnsi="Times New Roman CYR" w:cs="Times New Roman CYR"/>
          <w:sz w:val="28"/>
          <w:szCs w:val="28"/>
        </w:rPr>
        <w:lastRenderedPageBreak/>
        <w:t>Действующих инвестиционных проектов на территории района нет.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99"/>
        <w:gridCol w:w="1372"/>
        <w:gridCol w:w="1510"/>
        <w:gridCol w:w="1646"/>
        <w:gridCol w:w="1644"/>
      </w:tblGrid>
      <w:tr w:rsidR="00E179F9">
        <w:trPr>
          <w:trHeight w:val="365"/>
        </w:trPr>
        <w:tc>
          <w:tcPr>
            <w:tcW w:w="3399" w:type="dxa"/>
            <w:vMerge w:val="restart"/>
            <w:tcBorders>
              <w:top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Наименование показателя</w:t>
            </w:r>
          </w:p>
        </w:tc>
        <w:tc>
          <w:tcPr>
            <w:tcW w:w="6172" w:type="dxa"/>
            <w:gridSpan w:val="4"/>
            <w:tcBorders>
              <w:top w:val="single" w:sz="4" w:space="0" w:color="auto"/>
              <w:left w:val="single" w:sz="4" w:space="0" w:color="auto"/>
              <w:bottom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Значения показателя</w:t>
            </w:r>
          </w:p>
        </w:tc>
      </w:tr>
      <w:tr w:rsidR="00E179F9">
        <w:tc>
          <w:tcPr>
            <w:tcW w:w="3399" w:type="dxa"/>
            <w:vMerge/>
            <w:tcBorders>
              <w:top w:val="single" w:sz="4" w:space="0" w:color="auto"/>
              <w:bottom w:val="single" w:sz="4" w:space="0" w:color="auto"/>
              <w:right w:val="single" w:sz="4" w:space="0" w:color="auto"/>
            </w:tcBorders>
            <w:vAlign w:val="center"/>
          </w:tcPr>
          <w:p w:rsidR="00E179F9" w:rsidRDefault="00E179F9">
            <w:pPr>
              <w:autoSpaceDE w:val="0"/>
              <w:autoSpaceDN w:val="0"/>
              <w:adjustRightInd w:val="0"/>
              <w:rPr>
                <w:rFonts w:ascii="Times New Roman CYR" w:hAnsi="Times New Roman CYR" w:cs="Times New Roman CYR"/>
                <w:sz w:val="28"/>
                <w:szCs w:val="28"/>
              </w:rPr>
            </w:pPr>
          </w:p>
        </w:tc>
        <w:tc>
          <w:tcPr>
            <w:tcW w:w="137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2016 факт</w:t>
            </w:r>
          </w:p>
        </w:tc>
        <w:tc>
          <w:tcPr>
            <w:tcW w:w="1510"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2017 оценка</w:t>
            </w:r>
          </w:p>
        </w:tc>
        <w:tc>
          <w:tcPr>
            <w:tcW w:w="1646"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2018 прогноз</w:t>
            </w:r>
          </w:p>
        </w:tc>
        <w:tc>
          <w:tcPr>
            <w:tcW w:w="1644" w:type="dxa"/>
            <w:tcBorders>
              <w:top w:val="single" w:sz="4" w:space="0" w:color="auto"/>
              <w:left w:val="single" w:sz="4" w:space="0" w:color="auto"/>
              <w:bottom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2019 прогноз</w:t>
            </w:r>
          </w:p>
        </w:tc>
      </w:tr>
      <w:tr w:rsidR="00E179F9">
        <w:tc>
          <w:tcPr>
            <w:tcW w:w="3399"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exact"/>
              <w:rPr>
                <w:rFonts w:ascii="Times New Roman CYR" w:hAnsi="Times New Roman CYR" w:cs="Times New Roman CYR"/>
                <w:sz w:val="28"/>
                <w:szCs w:val="28"/>
              </w:rPr>
            </w:pPr>
          </w:p>
          <w:p w:rsidR="00E179F9" w:rsidRDefault="00E179F9">
            <w:pPr>
              <w:autoSpaceDE w:val="0"/>
              <w:autoSpaceDN w:val="0"/>
              <w:adjustRightInd w:val="0"/>
              <w:spacing w:line="240" w:lineRule="exact"/>
              <w:rPr>
                <w:rFonts w:ascii="Times New Roman CYR" w:hAnsi="Times New Roman CYR" w:cs="Times New Roman CYR"/>
                <w:sz w:val="28"/>
                <w:szCs w:val="28"/>
              </w:rPr>
            </w:pPr>
            <w:r>
              <w:rPr>
                <w:rFonts w:ascii="Times New Roman CYR" w:hAnsi="Times New Roman CYR" w:cs="Times New Roman CYR"/>
                <w:sz w:val="28"/>
                <w:szCs w:val="28"/>
              </w:rPr>
              <w:t>1. Объем инвестиций в основной капитал за счет всех источников финансирования (без субъектов малого предпринимательства),</w:t>
            </w:r>
            <w:r>
              <w:rPr>
                <w:rFonts w:ascii="Times New Roman CYR" w:hAnsi="Times New Roman CYR" w:cs="Times New Roman CYR"/>
                <w:sz w:val="28"/>
                <w:szCs w:val="28"/>
              </w:rPr>
              <w:br/>
              <w:t>тыс. руб.</w:t>
            </w:r>
          </w:p>
        </w:tc>
        <w:tc>
          <w:tcPr>
            <w:tcW w:w="137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313781</w:t>
            </w:r>
          </w:p>
        </w:tc>
        <w:tc>
          <w:tcPr>
            <w:tcW w:w="1510"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284090</w:t>
            </w:r>
          </w:p>
        </w:tc>
        <w:tc>
          <w:tcPr>
            <w:tcW w:w="1646"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99850</w:t>
            </w:r>
          </w:p>
        </w:tc>
        <w:tc>
          <w:tcPr>
            <w:tcW w:w="1644" w:type="dxa"/>
            <w:tcBorders>
              <w:top w:val="single" w:sz="4" w:space="0" w:color="auto"/>
              <w:left w:val="single" w:sz="4" w:space="0" w:color="auto"/>
              <w:bottom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99900</w:t>
            </w:r>
          </w:p>
        </w:tc>
      </w:tr>
      <w:tr w:rsidR="00E179F9">
        <w:tc>
          <w:tcPr>
            <w:tcW w:w="3399"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exact"/>
              <w:rPr>
                <w:rFonts w:ascii="Times New Roman CYR" w:hAnsi="Times New Roman CYR" w:cs="Times New Roman CYR"/>
                <w:sz w:val="28"/>
                <w:szCs w:val="28"/>
              </w:rPr>
            </w:pPr>
          </w:p>
          <w:p w:rsidR="00E179F9" w:rsidRDefault="00E179F9">
            <w:pPr>
              <w:autoSpaceDE w:val="0"/>
              <w:autoSpaceDN w:val="0"/>
              <w:adjustRightInd w:val="0"/>
              <w:spacing w:line="240" w:lineRule="exact"/>
              <w:rPr>
                <w:rFonts w:ascii="Times New Roman CYR" w:hAnsi="Times New Roman CYR" w:cs="Times New Roman CYR"/>
                <w:sz w:val="28"/>
                <w:szCs w:val="28"/>
              </w:rPr>
            </w:pPr>
            <w:r>
              <w:rPr>
                <w:rFonts w:ascii="Times New Roman CYR" w:hAnsi="Times New Roman CYR" w:cs="Times New Roman CYR"/>
                <w:sz w:val="28"/>
                <w:szCs w:val="28"/>
              </w:rPr>
              <w:t>2. Инвестиции в основной капитал за счет бюджетных средств, тыс. руб.</w:t>
            </w:r>
          </w:p>
        </w:tc>
        <w:tc>
          <w:tcPr>
            <w:tcW w:w="137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4041</w:t>
            </w:r>
          </w:p>
        </w:tc>
        <w:tc>
          <w:tcPr>
            <w:tcW w:w="1510"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4050</w:t>
            </w:r>
          </w:p>
        </w:tc>
        <w:tc>
          <w:tcPr>
            <w:tcW w:w="1646"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4050</w:t>
            </w:r>
          </w:p>
        </w:tc>
        <w:tc>
          <w:tcPr>
            <w:tcW w:w="1644" w:type="dxa"/>
            <w:tcBorders>
              <w:top w:val="single" w:sz="4" w:space="0" w:color="auto"/>
              <w:left w:val="single" w:sz="4" w:space="0" w:color="auto"/>
              <w:bottom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4050</w:t>
            </w:r>
          </w:p>
        </w:tc>
      </w:tr>
      <w:tr w:rsidR="00E179F9">
        <w:tc>
          <w:tcPr>
            <w:tcW w:w="3399"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exact"/>
              <w:rPr>
                <w:rFonts w:ascii="Times New Roman CYR" w:hAnsi="Times New Roman CYR" w:cs="Times New Roman CYR"/>
                <w:sz w:val="28"/>
                <w:szCs w:val="28"/>
              </w:rPr>
            </w:pPr>
          </w:p>
          <w:p w:rsidR="00E179F9" w:rsidRDefault="00E179F9">
            <w:pPr>
              <w:autoSpaceDE w:val="0"/>
              <w:autoSpaceDN w:val="0"/>
              <w:adjustRightInd w:val="0"/>
              <w:spacing w:line="240" w:lineRule="exact"/>
              <w:rPr>
                <w:rFonts w:ascii="Times New Roman CYR" w:hAnsi="Times New Roman CYR" w:cs="Times New Roman CYR"/>
                <w:sz w:val="28"/>
                <w:szCs w:val="28"/>
              </w:rPr>
            </w:pPr>
            <w:r>
              <w:rPr>
                <w:rFonts w:ascii="Times New Roman CYR" w:hAnsi="Times New Roman CYR" w:cs="Times New Roman CYR"/>
                <w:sz w:val="28"/>
                <w:szCs w:val="28"/>
              </w:rPr>
              <w:t>3. Объем инвестиций без бюджетных средств, тыс. руб.</w:t>
            </w:r>
          </w:p>
          <w:p w:rsidR="00E179F9" w:rsidRDefault="00E179F9">
            <w:pPr>
              <w:autoSpaceDE w:val="0"/>
              <w:autoSpaceDN w:val="0"/>
              <w:adjustRightInd w:val="0"/>
              <w:spacing w:line="240" w:lineRule="exact"/>
              <w:rPr>
                <w:rFonts w:ascii="Times New Roman CYR" w:hAnsi="Times New Roman CYR" w:cs="Times New Roman CYR"/>
                <w:sz w:val="28"/>
                <w:szCs w:val="28"/>
              </w:rPr>
            </w:pPr>
            <w:r>
              <w:rPr>
                <w:rFonts w:ascii="Times New Roman CYR" w:hAnsi="Times New Roman CYR" w:cs="Times New Roman CYR"/>
                <w:sz w:val="28"/>
                <w:szCs w:val="28"/>
              </w:rPr>
              <w:t>(стр. 1 – стр. 2)</w:t>
            </w:r>
          </w:p>
        </w:tc>
        <w:tc>
          <w:tcPr>
            <w:tcW w:w="137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309740</w:t>
            </w:r>
          </w:p>
        </w:tc>
        <w:tc>
          <w:tcPr>
            <w:tcW w:w="1510"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280040</w:t>
            </w:r>
          </w:p>
        </w:tc>
        <w:tc>
          <w:tcPr>
            <w:tcW w:w="1646"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95800</w:t>
            </w:r>
          </w:p>
        </w:tc>
        <w:tc>
          <w:tcPr>
            <w:tcW w:w="1644" w:type="dxa"/>
            <w:tcBorders>
              <w:top w:val="single" w:sz="4" w:space="0" w:color="auto"/>
              <w:left w:val="single" w:sz="4" w:space="0" w:color="auto"/>
              <w:bottom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95850</w:t>
            </w:r>
          </w:p>
        </w:tc>
      </w:tr>
      <w:tr w:rsidR="00E179F9">
        <w:tc>
          <w:tcPr>
            <w:tcW w:w="3399"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exact"/>
              <w:rPr>
                <w:rFonts w:ascii="Times New Roman CYR" w:hAnsi="Times New Roman CYR" w:cs="Times New Roman CYR"/>
                <w:sz w:val="28"/>
                <w:szCs w:val="28"/>
              </w:rPr>
            </w:pPr>
          </w:p>
          <w:p w:rsidR="00E179F9" w:rsidRDefault="00E179F9">
            <w:pPr>
              <w:autoSpaceDE w:val="0"/>
              <w:autoSpaceDN w:val="0"/>
              <w:adjustRightInd w:val="0"/>
              <w:spacing w:line="240" w:lineRule="exact"/>
              <w:rPr>
                <w:rFonts w:ascii="Times New Roman CYR" w:hAnsi="Times New Roman CYR" w:cs="Times New Roman CYR"/>
                <w:sz w:val="28"/>
                <w:szCs w:val="28"/>
              </w:rPr>
            </w:pPr>
            <w:r>
              <w:rPr>
                <w:rFonts w:ascii="Times New Roman CYR" w:hAnsi="Times New Roman CYR" w:cs="Times New Roman CYR"/>
                <w:sz w:val="28"/>
                <w:szCs w:val="28"/>
              </w:rPr>
              <w:t>4. Среднегодовая численность населения, чел.</w:t>
            </w:r>
          </w:p>
        </w:tc>
        <w:tc>
          <w:tcPr>
            <w:tcW w:w="137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10117</w:t>
            </w:r>
          </w:p>
        </w:tc>
        <w:tc>
          <w:tcPr>
            <w:tcW w:w="1510"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9970</w:t>
            </w:r>
          </w:p>
        </w:tc>
        <w:tc>
          <w:tcPr>
            <w:tcW w:w="1646"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9842</w:t>
            </w:r>
          </w:p>
        </w:tc>
        <w:tc>
          <w:tcPr>
            <w:tcW w:w="1644" w:type="dxa"/>
            <w:tcBorders>
              <w:top w:val="single" w:sz="4" w:space="0" w:color="auto"/>
              <w:left w:val="single" w:sz="4" w:space="0" w:color="auto"/>
              <w:bottom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9725</w:t>
            </w:r>
          </w:p>
        </w:tc>
      </w:tr>
      <w:tr w:rsidR="00E179F9">
        <w:tc>
          <w:tcPr>
            <w:tcW w:w="3399"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exact"/>
              <w:rPr>
                <w:rFonts w:ascii="Times New Roman CYR" w:hAnsi="Times New Roman CYR" w:cs="Times New Roman CYR"/>
                <w:sz w:val="28"/>
                <w:szCs w:val="28"/>
              </w:rPr>
            </w:pPr>
          </w:p>
          <w:p w:rsidR="00E179F9" w:rsidRDefault="00E179F9">
            <w:pPr>
              <w:autoSpaceDE w:val="0"/>
              <w:autoSpaceDN w:val="0"/>
              <w:adjustRightInd w:val="0"/>
              <w:spacing w:line="240" w:lineRule="exact"/>
              <w:rPr>
                <w:rFonts w:ascii="Times New Roman CYR" w:hAnsi="Times New Roman CYR" w:cs="Times New Roman CYR"/>
                <w:sz w:val="28"/>
                <w:szCs w:val="28"/>
              </w:rPr>
            </w:pPr>
            <w:r>
              <w:rPr>
                <w:rFonts w:ascii="Times New Roman CYR" w:hAnsi="Times New Roman CYR" w:cs="Times New Roman CYR"/>
                <w:sz w:val="28"/>
                <w:szCs w:val="28"/>
              </w:rPr>
              <w:t>5. Объем инвестиций в основной капитал (за исключением бюджетных средств) в расчете на 1 человека населения, руб.</w:t>
            </w:r>
          </w:p>
          <w:p w:rsidR="00E179F9" w:rsidRDefault="00E179F9">
            <w:pPr>
              <w:autoSpaceDE w:val="0"/>
              <w:autoSpaceDN w:val="0"/>
              <w:adjustRightInd w:val="0"/>
              <w:spacing w:line="240" w:lineRule="exact"/>
              <w:rPr>
                <w:rFonts w:ascii="Times New Roman CYR" w:hAnsi="Times New Roman CYR" w:cs="Times New Roman CYR"/>
                <w:sz w:val="28"/>
                <w:szCs w:val="28"/>
              </w:rPr>
            </w:pPr>
            <w:r>
              <w:rPr>
                <w:rFonts w:ascii="Times New Roman CYR" w:hAnsi="Times New Roman CYR" w:cs="Times New Roman CYR"/>
                <w:sz w:val="28"/>
                <w:szCs w:val="28"/>
              </w:rPr>
              <w:t>(стр. 3/стр. 4)</w:t>
            </w:r>
          </w:p>
        </w:tc>
        <w:tc>
          <w:tcPr>
            <w:tcW w:w="137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30615,8</w:t>
            </w:r>
          </w:p>
        </w:tc>
        <w:tc>
          <w:tcPr>
            <w:tcW w:w="1510"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28088,3</w:t>
            </w:r>
          </w:p>
        </w:tc>
        <w:tc>
          <w:tcPr>
            <w:tcW w:w="1646"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9733,8</w:t>
            </w:r>
          </w:p>
        </w:tc>
        <w:tc>
          <w:tcPr>
            <w:tcW w:w="1644" w:type="dxa"/>
            <w:tcBorders>
              <w:top w:val="single" w:sz="4" w:space="0" w:color="auto"/>
              <w:left w:val="single" w:sz="4" w:space="0" w:color="auto"/>
              <w:bottom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9856</w:t>
            </w:r>
          </w:p>
        </w:tc>
      </w:tr>
    </w:tbl>
    <w:p w:rsidR="00E179F9" w:rsidRDefault="00E179F9" w:rsidP="00CB01C4">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4.</w:t>
      </w:r>
      <w:r w:rsidR="00CB01C4">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E179F9" w:rsidRPr="00CB01C4" w:rsidRDefault="00E179F9">
      <w:pPr>
        <w:autoSpaceDE w:val="0"/>
        <w:autoSpaceDN w:val="0"/>
        <w:adjustRightInd w:val="0"/>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В 2016 году не было продажи земельных участков на территории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Доля площади </w:t>
      </w:r>
      <w:proofErr w:type="gramStart"/>
      <w:r>
        <w:rPr>
          <w:rFonts w:ascii="Times New Roman CYR" w:hAnsi="Times New Roman CYR" w:cs="Times New Roman CYR"/>
          <w:sz w:val="28"/>
          <w:szCs w:val="28"/>
        </w:rPr>
        <w:t>земельных участков, являющихся объектами налогообложения в 2016 году составила</w:t>
      </w:r>
      <w:proofErr w:type="gramEnd"/>
      <w:r>
        <w:rPr>
          <w:rFonts w:ascii="Times New Roman CYR" w:hAnsi="Times New Roman CYR" w:cs="Times New Roman CYR"/>
          <w:sz w:val="28"/>
          <w:szCs w:val="28"/>
        </w:rPr>
        <w:t xml:space="preserve"> 28,41 % в общей площади </w:t>
      </w:r>
      <w:r>
        <w:rPr>
          <w:rFonts w:ascii="Times New Roman CYR" w:hAnsi="Times New Roman CYR" w:cs="Times New Roman CYR"/>
          <w:sz w:val="28"/>
          <w:szCs w:val="28"/>
        </w:rPr>
        <w:lastRenderedPageBreak/>
        <w:t xml:space="preserve">территории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К 2019 году запланировано увеличение данного показателя до 28,51%. </w:t>
      </w:r>
    </w:p>
    <w:p w:rsidR="00E179F9" w:rsidRDefault="00E179F9" w:rsidP="00CB01C4">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5. </w:t>
      </w:r>
      <w:r>
        <w:rPr>
          <w:rFonts w:ascii="Times New Roman CYR" w:hAnsi="Times New Roman CYR" w:cs="Times New Roman CYR"/>
          <w:b/>
          <w:bCs/>
          <w:color w:val="000000"/>
          <w:sz w:val="28"/>
          <w:szCs w:val="28"/>
        </w:rPr>
        <w:t xml:space="preserve">Доля прибыльных сельскохозяйственных </w:t>
      </w:r>
      <w:proofErr w:type="gramStart"/>
      <w:r>
        <w:rPr>
          <w:rFonts w:ascii="Times New Roman CYR" w:hAnsi="Times New Roman CYR" w:cs="Times New Roman CYR"/>
          <w:b/>
          <w:bCs/>
          <w:color w:val="000000"/>
          <w:sz w:val="28"/>
          <w:szCs w:val="28"/>
        </w:rPr>
        <w:t>организаций</w:t>
      </w:r>
      <w:proofErr w:type="gramEnd"/>
      <w:r>
        <w:rPr>
          <w:rFonts w:ascii="Times New Roman CYR" w:hAnsi="Times New Roman CYR" w:cs="Times New Roman CYR"/>
          <w:b/>
          <w:bCs/>
          <w:color w:val="000000"/>
          <w:sz w:val="28"/>
          <w:szCs w:val="28"/>
        </w:rPr>
        <w:t xml:space="preserve"> в общем их числе</w:t>
      </w:r>
    </w:p>
    <w:p w:rsidR="00E179F9" w:rsidRDefault="00E179F9" w:rsidP="00CB01C4">
      <w:pPr>
        <w:autoSpaceDE w:val="0"/>
        <w:autoSpaceDN w:val="0"/>
        <w:adjustRightInd w:val="0"/>
        <w:spacing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t>Сельскохозяйственное производство сосредоточено в 7 сельскохозяйственных предприятиях, 1 кооперативе, 10 крестьянских фермерских хозяйствах, зарегистрированных в реестре субъектов агропромышленного комплекса, и в личных подсобных хозяйствах.</w:t>
      </w:r>
    </w:p>
    <w:p w:rsidR="00E179F9" w:rsidRDefault="00E179F9" w:rsidP="00CB01C4">
      <w:pPr>
        <w:autoSpaceDE w:val="0"/>
        <w:autoSpaceDN w:val="0"/>
        <w:adjustRightInd w:val="0"/>
        <w:spacing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t>За 2016 год объем произведенной продукции сельскохозяйственной отрасли по всем категориям хозяйств составил 958 793 тыс. руб., что на 15% больше 2015 года.</w:t>
      </w:r>
    </w:p>
    <w:p w:rsidR="00E179F9" w:rsidRDefault="00E179F9" w:rsidP="00CB01C4">
      <w:pPr>
        <w:autoSpaceDE w:val="0"/>
        <w:autoSpaceDN w:val="0"/>
        <w:adjustRightInd w:val="0"/>
        <w:spacing w:line="240" w:lineRule="auto"/>
        <w:contextualSpacing/>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В 2016 году получено всеми категориями хозяйств:</w:t>
      </w:r>
    </w:p>
    <w:p w:rsidR="00E179F9" w:rsidRDefault="00E179F9" w:rsidP="00CB01C4">
      <w:pPr>
        <w:autoSpaceDE w:val="0"/>
        <w:autoSpaceDN w:val="0"/>
        <w:adjustRightInd w:val="0"/>
        <w:spacing w:line="240" w:lineRule="auto"/>
        <w:contextualSpacing/>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субсидий- 25502 тыс</w:t>
      </w:r>
      <w:proofErr w:type="gramStart"/>
      <w:r>
        <w:rPr>
          <w:rFonts w:ascii="Times New Roman CYR" w:hAnsi="Times New Roman CYR" w:cs="Times New Roman CYR"/>
          <w:color w:val="000000"/>
          <w:sz w:val="28"/>
          <w:szCs w:val="28"/>
        </w:rPr>
        <w:t>.р</w:t>
      </w:r>
      <w:proofErr w:type="gramEnd"/>
      <w:r>
        <w:rPr>
          <w:rFonts w:ascii="Times New Roman CYR" w:hAnsi="Times New Roman CYR" w:cs="Times New Roman CYR"/>
          <w:color w:val="000000"/>
          <w:sz w:val="28"/>
          <w:szCs w:val="28"/>
        </w:rPr>
        <w:t>уб.( на 26,2% меньше 2015 г.), кредитов и займов-13935 тыс.руб.(на 33% меньше 2015 г.).Основное назначение использования кредитных средств- приобретение ГСМ, кормов и семенного материала.</w:t>
      </w:r>
      <w:r>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ab/>
        <w:t>Получено прибыли -26673 тыс</w:t>
      </w:r>
      <w:proofErr w:type="gramStart"/>
      <w:r>
        <w:rPr>
          <w:rFonts w:ascii="Times New Roman CYR" w:hAnsi="Times New Roman CYR" w:cs="Times New Roman CYR"/>
          <w:color w:val="000000"/>
          <w:sz w:val="28"/>
          <w:szCs w:val="28"/>
        </w:rPr>
        <w:t>.р</w:t>
      </w:r>
      <w:proofErr w:type="gramEnd"/>
      <w:r>
        <w:rPr>
          <w:rFonts w:ascii="Times New Roman CYR" w:hAnsi="Times New Roman CYR" w:cs="Times New Roman CYR"/>
          <w:color w:val="000000"/>
          <w:sz w:val="28"/>
          <w:szCs w:val="28"/>
        </w:rPr>
        <w:t>уб. (на 7,7% меньше 2015г.). Доля прибыльных сельскохозяйственных организаций в 2016 году составила 100%. Положительный результат достигнут в связи с увеличением доходов от реализации сельхозпродукции.</w:t>
      </w:r>
    </w:p>
    <w:p w:rsidR="00E179F9" w:rsidRDefault="00E179F9" w:rsidP="00CB01C4">
      <w:pPr>
        <w:autoSpaceDE w:val="0"/>
        <w:autoSpaceDN w:val="0"/>
        <w:adjustRightInd w:val="0"/>
        <w:spacing w:line="240" w:lineRule="auto"/>
        <w:contextualSpacing/>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100% прибыльных организаций сельского хозяйства прогнозируется и в 2019 году.</w:t>
      </w:r>
    </w:p>
    <w:p w:rsidR="00E179F9" w:rsidRDefault="00E179F9">
      <w:pPr>
        <w:widowControl w:val="0"/>
        <w:autoSpaceDE w:val="0"/>
        <w:autoSpaceDN w:val="0"/>
        <w:adjustRightInd w:val="0"/>
        <w:spacing w:after="0" w:line="240" w:lineRule="auto"/>
        <w:rPr>
          <w:rFonts w:ascii="Arial" w:hAnsi="Arial" w:cs="Arial"/>
          <w:sz w:val="20"/>
          <w:szCs w:val="20"/>
        </w:rPr>
      </w:pPr>
    </w:p>
    <w:p w:rsidR="00E179F9" w:rsidRDefault="00E179F9" w:rsidP="00CB01C4">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6. </w:t>
      </w:r>
      <w:r>
        <w:rPr>
          <w:rFonts w:ascii="Times New Roman CYR" w:hAnsi="Times New Roman CYR" w:cs="Times New Roman CYR"/>
          <w:b/>
          <w:bCs/>
          <w:color w:val="000000"/>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E179F9" w:rsidRDefault="00E179F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Протяженность автомобильных дорог местного значения поселений составляет 167,29 км, из них не отвечают нормативным требованиям 106,7 км дорог. На 31.12.2016г.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63,7%.</w:t>
      </w:r>
    </w:p>
    <w:p w:rsidR="00CB01C4" w:rsidRDefault="00CB01C4">
      <w:pPr>
        <w:widowControl w:val="0"/>
        <w:autoSpaceDE w:val="0"/>
        <w:autoSpaceDN w:val="0"/>
        <w:adjustRightInd w:val="0"/>
        <w:spacing w:after="0" w:line="240" w:lineRule="auto"/>
        <w:rPr>
          <w:rFonts w:ascii="Arial" w:hAnsi="Arial" w:cs="Arial"/>
          <w:sz w:val="20"/>
          <w:szCs w:val="20"/>
        </w:rPr>
      </w:pPr>
    </w:p>
    <w:p w:rsidR="00E179F9" w:rsidRDefault="00E179F9" w:rsidP="00CB01C4">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7. </w:t>
      </w:r>
      <w:r>
        <w:rPr>
          <w:rFonts w:ascii="Times New Roman CYR" w:hAnsi="Times New Roman CYR" w:cs="Times New Roman CYR"/>
          <w:b/>
          <w:bCs/>
          <w:color w:val="000000"/>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E179F9" w:rsidRDefault="00E179F9">
      <w:pPr>
        <w:autoSpaceDE w:val="0"/>
        <w:autoSpaceDN w:val="0"/>
        <w:adjustRightInd w:val="0"/>
        <w:spacing w:line="240" w:lineRule="auto"/>
        <w:jc w:val="both"/>
        <w:rPr>
          <w:rFonts w:ascii="Calibri" w:hAnsi="Calibri" w:cs="Calibri"/>
        </w:rPr>
      </w:pPr>
      <w:r>
        <w:rPr>
          <w:rFonts w:ascii="Times New Roman CYR" w:hAnsi="Times New Roman CYR" w:cs="Times New Roman CYR"/>
          <w:sz w:val="28"/>
          <w:szCs w:val="28"/>
        </w:rPr>
        <w:tab/>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составляет  0%.</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61"/>
        <w:gridCol w:w="3216"/>
        <w:gridCol w:w="5245"/>
      </w:tblGrid>
      <w:tr w:rsidR="00E179F9">
        <w:tc>
          <w:tcPr>
            <w:tcW w:w="861" w:type="dxa"/>
            <w:tcBorders>
              <w:top w:val="single" w:sz="4" w:space="0" w:color="auto"/>
              <w:bottom w:val="single" w:sz="4" w:space="0" w:color="auto"/>
              <w:right w:val="single" w:sz="4" w:space="0" w:color="auto"/>
            </w:tcBorders>
          </w:tcPr>
          <w:p w:rsidR="00E179F9" w:rsidRDefault="00E179F9">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proofErr w:type="spellStart"/>
            <w:proofErr w:type="gramStart"/>
            <w:r>
              <w:rPr>
                <w:rFonts w:ascii="Times New Roman CYR" w:hAnsi="Times New Roman CYR" w:cs="Times New Roman CYR"/>
                <w:sz w:val="24"/>
                <w:szCs w:val="24"/>
              </w:rPr>
              <w:t>п</w:t>
            </w:r>
            <w:proofErr w:type="spellEnd"/>
            <w:proofErr w:type="gram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п</w:t>
            </w:r>
            <w:proofErr w:type="spellEnd"/>
          </w:p>
        </w:tc>
        <w:tc>
          <w:tcPr>
            <w:tcW w:w="3216"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Населенный пункт</w:t>
            </w:r>
          </w:p>
        </w:tc>
        <w:tc>
          <w:tcPr>
            <w:tcW w:w="5245" w:type="dxa"/>
            <w:tcBorders>
              <w:top w:val="single" w:sz="4" w:space="0" w:color="auto"/>
              <w:left w:val="single" w:sz="4" w:space="0" w:color="auto"/>
              <w:bottom w:val="single" w:sz="4" w:space="0" w:color="auto"/>
            </w:tcBorders>
          </w:tcPr>
          <w:p w:rsidR="00E179F9" w:rsidRDefault="00E179F9">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Среднегодовая численность населения, человек</w:t>
            </w:r>
          </w:p>
        </w:tc>
      </w:tr>
      <w:tr w:rsidR="00E179F9">
        <w:trPr>
          <w:trHeight w:val="1017"/>
        </w:trPr>
        <w:tc>
          <w:tcPr>
            <w:tcW w:w="861" w:type="dxa"/>
            <w:tcBorders>
              <w:top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3216"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д. Казанка (Александровский сельсовет)</w:t>
            </w:r>
          </w:p>
        </w:tc>
        <w:tc>
          <w:tcPr>
            <w:tcW w:w="5245" w:type="dxa"/>
            <w:tcBorders>
              <w:top w:val="single" w:sz="4" w:space="0" w:color="auto"/>
              <w:left w:val="single" w:sz="4" w:space="0" w:color="auto"/>
              <w:bottom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E179F9">
        <w:trPr>
          <w:trHeight w:val="990"/>
        </w:trPr>
        <w:tc>
          <w:tcPr>
            <w:tcW w:w="861" w:type="dxa"/>
            <w:tcBorders>
              <w:top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3216"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д. </w:t>
            </w:r>
            <w:proofErr w:type="spellStart"/>
            <w:r>
              <w:rPr>
                <w:rFonts w:ascii="Times New Roman CYR" w:hAnsi="Times New Roman CYR" w:cs="Times New Roman CYR"/>
                <w:sz w:val="24"/>
                <w:szCs w:val="24"/>
              </w:rPr>
              <w:t>Б-Завод</w:t>
            </w:r>
            <w:proofErr w:type="spellEnd"/>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Боготольский</w:t>
            </w:r>
            <w:proofErr w:type="spellEnd"/>
            <w:r>
              <w:rPr>
                <w:rFonts w:ascii="Times New Roman CYR" w:hAnsi="Times New Roman CYR" w:cs="Times New Roman CYR"/>
                <w:sz w:val="24"/>
                <w:szCs w:val="24"/>
              </w:rPr>
              <w:t xml:space="preserve"> сельсовет)</w:t>
            </w:r>
          </w:p>
        </w:tc>
        <w:tc>
          <w:tcPr>
            <w:tcW w:w="5245" w:type="dxa"/>
            <w:tcBorders>
              <w:top w:val="single" w:sz="4" w:space="0" w:color="auto"/>
              <w:left w:val="single" w:sz="4" w:space="0" w:color="auto"/>
              <w:bottom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E179F9">
        <w:tc>
          <w:tcPr>
            <w:tcW w:w="861" w:type="dxa"/>
            <w:tcBorders>
              <w:top w:val="single" w:sz="4" w:space="0" w:color="auto"/>
              <w:bottom w:val="single" w:sz="4" w:space="0" w:color="auto"/>
              <w:right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Итого</w:t>
            </w:r>
          </w:p>
        </w:tc>
        <w:tc>
          <w:tcPr>
            <w:tcW w:w="5245" w:type="dxa"/>
            <w:tcBorders>
              <w:top w:val="single" w:sz="4" w:space="0" w:color="auto"/>
              <w:left w:val="single" w:sz="4" w:space="0" w:color="auto"/>
              <w:bottom w:val="single" w:sz="4" w:space="0" w:color="auto"/>
            </w:tcBorders>
            <w:vAlign w:val="center"/>
          </w:tcPr>
          <w:p w:rsidR="00E179F9" w:rsidRDefault="00E179F9">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179F9" w:rsidRDefault="00E179F9" w:rsidP="00CB01C4">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Pr>
          <w:rFonts w:ascii="Times New Roman" w:hAnsi="Times New Roman" w:cs="Times New Roman"/>
          <w:b/>
          <w:bCs/>
          <w:color w:val="000000"/>
          <w:sz w:val="28"/>
          <w:szCs w:val="28"/>
        </w:rPr>
        <w:t xml:space="preserve">8. </w:t>
      </w:r>
      <w:r>
        <w:rPr>
          <w:rFonts w:ascii="Times New Roman CYR" w:hAnsi="Times New Roman CYR" w:cs="Times New Roman CYR"/>
          <w:b/>
          <w:bCs/>
          <w:color w:val="000000"/>
          <w:sz w:val="28"/>
          <w:szCs w:val="28"/>
        </w:rPr>
        <w:t>Среднемесячная номинальная начисленная заработная плата работников:</w:t>
      </w:r>
      <w:r>
        <w:rPr>
          <w:rFonts w:ascii="Arial" w:hAnsi="Arial" w:cs="Arial"/>
          <w:sz w:val="20"/>
          <w:szCs w:val="20"/>
        </w:rPr>
        <w:t xml:space="preserve"> </w:t>
      </w:r>
    </w:p>
    <w:p w:rsidR="00E179F9" w:rsidRDefault="00E179F9" w:rsidP="00CB01C4">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8.1. </w:t>
      </w:r>
      <w:r>
        <w:rPr>
          <w:rFonts w:ascii="Times New Roman CYR" w:hAnsi="Times New Roman CYR" w:cs="Times New Roman CYR"/>
          <w:b/>
          <w:bCs/>
          <w:color w:val="000000"/>
          <w:sz w:val="28"/>
          <w:szCs w:val="28"/>
        </w:rPr>
        <w:t>крупных и средних предприятий и некоммерческих организаций городского округа (муниципального района)</w:t>
      </w:r>
    </w:p>
    <w:p w:rsidR="00E179F9" w:rsidRPr="00CB01C4" w:rsidRDefault="00E179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color w:val="000000"/>
          <w:sz w:val="28"/>
          <w:szCs w:val="28"/>
        </w:rPr>
        <w:t xml:space="preserve">Среднемесячная номинальная заработная  плата крупных и средних предприятий и </w:t>
      </w:r>
      <w:proofErr w:type="spellStart"/>
      <w:r>
        <w:rPr>
          <w:rFonts w:ascii="Times New Roman CYR" w:hAnsi="Times New Roman CYR" w:cs="Times New Roman CYR"/>
          <w:color w:val="000000"/>
          <w:sz w:val="28"/>
          <w:szCs w:val="28"/>
        </w:rPr>
        <w:t>некомерческих</w:t>
      </w:r>
      <w:proofErr w:type="spellEnd"/>
      <w:r>
        <w:rPr>
          <w:rFonts w:ascii="Times New Roman CYR" w:hAnsi="Times New Roman CYR" w:cs="Times New Roman CYR"/>
          <w:color w:val="000000"/>
          <w:sz w:val="28"/>
          <w:szCs w:val="28"/>
        </w:rPr>
        <w:t xml:space="preserve"> организаций выросла по сравнению с 2015 годом на 6,9 % и составила в 2016 году 24529,9 руб. К 2019 году размер заработной платы крупных и средних предприятий и </w:t>
      </w:r>
      <w:proofErr w:type="spellStart"/>
      <w:r>
        <w:rPr>
          <w:rFonts w:ascii="Times New Roman CYR" w:hAnsi="Times New Roman CYR" w:cs="Times New Roman CYR"/>
          <w:color w:val="000000"/>
          <w:sz w:val="28"/>
          <w:szCs w:val="28"/>
        </w:rPr>
        <w:t>некомерческих</w:t>
      </w:r>
      <w:proofErr w:type="spellEnd"/>
      <w:r>
        <w:rPr>
          <w:rFonts w:ascii="Times New Roman CYR" w:hAnsi="Times New Roman CYR" w:cs="Times New Roman CYR"/>
          <w:color w:val="000000"/>
          <w:sz w:val="28"/>
          <w:szCs w:val="28"/>
        </w:rPr>
        <w:t xml:space="preserve"> организаций составит 28831,27 руб.</w:t>
      </w:r>
    </w:p>
    <w:p w:rsidR="00E179F9" w:rsidRDefault="00E179F9">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8.2. </w:t>
      </w:r>
      <w:r>
        <w:rPr>
          <w:rFonts w:ascii="Times New Roman CYR" w:hAnsi="Times New Roman CYR" w:cs="Times New Roman CYR"/>
          <w:b/>
          <w:bCs/>
          <w:color w:val="000000"/>
          <w:sz w:val="28"/>
          <w:szCs w:val="28"/>
        </w:rPr>
        <w:t>муниципальных дошкольных образовательных учреждений</w:t>
      </w:r>
    </w:p>
    <w:p w:rsidR="00E179F9" w:rsidRDefault="00E179F9">
      <w:pPr>
        <w:autoSpaceDE w:val="0"/>
        <w:autoSpaceDN w:val="0"/>
        <w:adjustRightInd w:val="0"/>
        <w:spacing w:after="0" w:line="240" w:lineRule="auto"/>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Среднемесячная номинальная заработная  плата муниципальных дошкольных учреждений в 2016 году составила 16306,4 руб., что на 13,2% выше 2015 года. К 2019 году не планируется увеличение данного показателя .</w:t>
      </w:r>
    </w:p>
    <w:p w:rsidR="00E179F9" w:rsidRDefault="00E179F9">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8.3. </w:t>
      </w:r>
      <w:r>
        <w:rPr>
          <w:rFonts w:ascii="Times New Roman CYR" w:hAnsi="Times New Roman CYR" w:cs="Times New Roman CYR"/>
          <w:b/>
          <w:bCs/>
          <w:color w:val="000000"/>
          <w:sz w:val="28"/>
          <w:szCs w:val="28"/>
        </w:rPr>
        <w:t>муниципальных общеобразовательных учреждений</w:t>
      </w:r>
    </w:p>
    <w:p w:rsidR="00E179F9" w:rsidRDefault="00E179F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Среднемесячная номинальная заработная  плата в муниципальных общеобразовательных учреждениях в 2016 году  увеличилась на  3% и составила 25135 руб. Среднемесячная зарплата учителей- </w:t>
      </w:r>
      <w:r w:rsidR="00527870">
        <w:rPr>
          <w:rFonts w:ascii="Times New Roman CYR" w:hAnsi="Times New Roman CYR" w:cs="Times New Roman CYR"/>
          <w:color w:val="000000"/>
          <w:sz w:val="28"/>
          <w:szCs w:val="28"/>
        </w:rPr>
        <w:t>33790,4</w:t>
      </w:r>
      <w:r>
        <w:rPr>
          <w:rFonts w:ascii="Times New Roman CYR" w:hAnsi="Times New Roman CYR" w:cs="Times New Roman CYR"/>
          <w:color w:val="000000"/>
          <w:sz w:val="28"/>
          <w:szCs w:val="28"/>
        </w:rPr>
        <w:t xml:space="preserve"> руб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на </w:t>
      </w:r>
      <w:r w:rsidR="00527870">
        <w:rPr>
          <w:rFonts w:ascii="Times New Roman CYR" w:hAnsi="Times New Roman CYR" w:cs="Times New Roman CYR"/>
          <w:sz w:val="28"/>
          <w:szCs w:val="28"/>
        </w:rPr>
        <w:t xml:space="preserve">2,4 </w:t>
      </w:r>
      <w:r>
        <w:rPr>
          <w:rFonts w:ascii="Times New Roman CYR" w:hAnsi="Times New Roman CYR" w:cs="Times New Roman CYR"/>
          <w:sz w:val="28"/>
          <w:szCs w:val="28"/>
        </w:rPr>
        <w:t xml:space="preserve">% ниже 2015г.) </w:t>
      </w:r>
    </w:p>
    <w:p w:rsidR="00E179F9" w:rsidRPr="00CB01C4" w:rsidRDefault="00E179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sz w:val="28"/>
          <w:szCs w:val="28"/>
        </w:rPr>
        <w:t xml:space="preserve">По прогнозу к 2019 году </w:t>
      </w:r>
      <w:r>
        <w:rPr>
          <w:rFonts w:ascii="Times New Roman CYR" w:hAnsi="Times New Roman CYR" w:cs="Times New Roman CYR"/>
          <w:color w:val="000000"/>
          <w:sz w:val="28"/>
          <w:szCs w:val="28"/>
        </w:rPr>
        <w:t xml:space="preserve">среднемесячная номинальная заработная  плата в муниципальных общеобразовательных учреждениях </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увеличется</w:t>
      </w:r>
      <w:proofErr w:type="spellEnd"/>
      <w:r>
        <w:rPr>
          <w:rFonts w:ascii="Times New Roman CYR" w:hAnsi="Times New Roman CYR" w:cs="Times New Roman CYR"/>
          <w:sz w:val="28"/>
          <w:szCs w:val="28"/>
        </w:rPr>
        <w:t xml:space="preserve"> на 102,7 %  и составит 25803,28 </w:t>
      </w:r>
      <w:proofErr w:type="spellStart"/>
      <w:r>
        <w:rPr>
          <w:rFonts w:ascii="Times New Roman CYR" w:hAnsi="Times New Roman CYR" w:cs="Times New Roman CYR"/>
          <w:sz w:val="28"/>
          <w:szCs w:val="28"/>
        </w:rPr>
        <w:t>руб</w:t>
      </w:r>
      <w:proofErr w:type="spellEnd"/>
      <w:r>
        <w:rPr>
          <w:rFonts w:ascii="Times New Roman CYR" w:hAnsi="Times New Roman CYR" w:cs="Times New Roman CYR"/>
          <w:sz w:val="28"/>
          <w:szCs w:val="28"/>
        </w:rPr>
        <w:t>, учителей -34242,4 руб.</w:t>
      </w:r>
    </w:p>
    <w:p w:rsidR="00E179F9" w:rsidRDefault="00E179F9">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8.4. </w:t>
      </w:r>
      <w:r>
        <w:rPr>
          <w:rFonts w:ascii="Times New Roman CYR" w:hAnsi="Times New Roman CYR" w:cs="Times New Roman CYR"/>
          <w:b/>
          <w:bCs/>
          <w:color w:val="000000"/>
          <w:sz w:val="28"/>
          <w:szCs w:val="28"/>
        </w:rPr>
        <w:t>муниципальных учреждений культуры и искусства</w:t>
      </w:r>
    </w:p>
    <w:p w:rsidR="00E179F9" w:rsidRPr="00CB01C4" w:rsidRDefault="00E179F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color w:val="000000"/>
        </w:rPr>
        <w:tab/>
      </w:r>
      <w:r>
        <w:rPr>
          <w:rFonts w:ascii="Times New Roman CYR" w:hAnsi="Times New Roman CYR" w:cs="Times New Roman CYR"/>
          <w:color w:val="000000"/>
          <w:sz w:val="28"/>
          <w:szCs w:val="28"/>
        </w:rPr>
        <w:t>В 2016 году среднемесячная</w:t>
      </w:r>
      <w:r w:rsidRPr="00CB01C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номинальная</w:t>
      </w:r>
      <w:r w:rsidRPr="00CB01C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заработная</w:t>
      </w:r>
      <w:r w:rsidRPr="00CB01C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плата</w:t>
      </w:r>
      <w:r w:rsidRPr="00CB01C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муниципальных</w:t>
      </w:r>
      <w:r w:rsidRPr="00CB01C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учреждений</w:t>
      </w:r>
      <w:r w:rsidRPr="00CB01C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культуры</w:t>
      </w:r>
      <w:r w:rsidRPr="00CB01C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и</w:t>
      </w:r>
      <w:r w:rsidRPr="00CB01C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искусства</w:t>
      </w:r>
      <w:r w:rsidRPr="00CB01C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увеличилась</w:t>
      </w:r>
      <w:r w:rsidRPr="00CB01C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w:t>
      </w:r>
      <w:r w:rsidRPr="00CB01C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9,8</w:t>
      </w:r>
      <w:r w:rsidRPr="00CB01C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и</w:t>
      </w:r>
      <w:r w:rsidRPr="00CB01C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составила</w:t>
      </w:r>
      <w:r w:rsidRPr="00CB01C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13740 руб</w:t>
      </w:r>
      <w:r w:rsidRPr="00CB01C4">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Прогноз увеличения к 2019 году по сравнению с отчетным периодом составляет 15,6%.</w:t>
      </w:r>
    </w:p>
    <w:p w:rsidR="00E179F9" w:rsidRDefault="00E179F9">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8.5. </w:t>
      </w:r>
      <w:r>
        <w:rPr>
          <w:rFonts w:ascii="Times New Roman CYR" w:hAnsi="Times New Roman CYR" w:cs="Times New Roman CYR"/>
          <w:b/>
          <w:bCs/>
          <w:color w:val="000000"/>
          <w:sz w:val="28"/>
          <w:szCs w:val="28"/>
        </w:rPr>
        <w:t>муниципальных учреждений физической культуры и спорта</w:t>
      </w:r>
    </w:p>
    <w:p w:rsidR="00E179F9" w:rsidRDefault="00E179F9">
      <w:pPr>
        <w:autoSpaceDE w:val="0"/>
        <w:autoSpaceDN w:val="0"/>
        <w:adjustRightInd w:val="0"/>
        <w:spacing w:after="0" w:line="240" w:lineRule="auto"/>
        <w:ind w:firstLine="708"/>
        <w:rPr>
          <w:rFonts w:ascii="Times New Roman CYR" w:hAnsi="Times New Roman CYR" w:cs="Times New Roman CYR"/>
          <w:color w:val="000000"/>
          <w:sz w:val="28"/>
          <w:szCs w:val="28"/>
        </w:rPr>
      </w:pPr>
      <w:r>
        <w:rPr>
          <w:rFonts w:ascii="Times New Roman CYR" w:hAnsi="Times New Roman CYR" w:cs="Times New Roman CYR"/>
          <w:color w:val="000000"/>
        </w:rPr>
        <w:tab/>
      </w:r>
      <w:r>
        <w:rPr>
          <w:rFonts w:ascii="Times New Roman CYR" w:hAnsi="Times New Roman CYR" w:cs="Times New Roman CYR"/>
          <w:color w:val="000000"/>
          <w:sz w:val="28"/>
          <w:szCs w:val="28"/>
        </w:rPr>
        <w:t>Среднемесячная номинальная заработная  плата работников муниципальных учреждений физической культуры и спорта  составила в 2016 году  12284 руб. К 2019 году не планируется увеличение данного показателя</w:t>
      </w:r>
      <w:proofErr w:type="gramStart"/>
      <w:r>
        <w:rPr>
          <w:rFonts w:ascii="Times New Roman CYR" w:hAnsi="Times New Roman CYR" w:cs="Times New Roman CYR"/>
          <w:color w:val="000000"/>
          <w:sz w:val="28"/>
          <w:szCs w:val="28"/>
        </w:rPr>
        <w:t xml:space="preserve"> .</w:t>
      </w:r>
      <w:proofErr w:type="gramEnd"/>
    </w:p>
    <w:p w:rsidR="00E179F9" w:rsidRDefault="00E179F9">
      <w:pPr>
        <w:widowControl w:val="0"/>
        <w:autoSpaceDE w:val="0"/>
        <w:autoSpaceDN w:val="0"/>
        <w:adjustRightInd w:val="0"/>
        <w:spacing w:after="0" w:line="240" w:lineRule="auto"/>
        <w:rPr>
          <w:rFonts w:ascii="Arial" w:hAnsi="Arial" w:cs="Arial"/>
          <w:sz w:val="20"/>
          <w:szCs w:val="20"/>
        </w:rPr>
      </w:pPr>
    </w:p>
    <w:p w:rsidR="00E179F9" w:rsidRDefault="00E179F9">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II. </w:t>
      </w:r>
      <w:r>
        <w:rPr>
          <w:rFonts w:ascii="Times New Roman CYR" w:hAnsi="Times New Roman CYR" w:cs="Times New Roman CYR"/>
          <w:b/>
          <w:bCs/>
          <w:color w:val="000000"/>
          <w:sz w:val="28"/>
          <w:szCs w:val="28"/>
        </w:rPr>
        <w:t>Дошкольное образование</w:t>
      </w:r>
    </w:p>
    <w:p w:rsidR="00E179F9" w:rsidRDefault="00E179F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На 31.12.2016 года на территории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функционирует 8 дошкольных образовательных учреждений на 278 мест. В октябре 2016 г. открыта 1 группа на 25 мест в МКОУ </w:t>
      </w:r>
      <w:proofErr w:type="spellStart"/>
      <w:r>
        <w:rPr>
          <w:rFonts w:ascii="Times New Roman CYR" w:hAnsi="Times New Roman CYR" w:cs="Times New Roman CYR"/>
          <w:sz w:val="28"/>
          <w:szCs w:val="28"/>
        </w:rPr>
        <w:t>Краснозаводская</w:t>
      </w:r>
      <w:proofErr w:type="spellEnd"/>
      <w:r>
        <w:rPr>
          <w:rFonts w:ascii="Times New Roman CYR" w:hAnsi="Times New Roman CYR" w:cs="Times New Roman CYR"/>
          <w:sz w:val="28"/>
          <w:szCs w:val="28"/>
        </w:rPr>
        <w:t xml:space="preserve"> СОШ.</w:t>
      </w:r>
    </w:p>
    <w:p w:rsidR="00E179F9" w:rsidRDefault="00E179F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Дошкольное образование на территории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получают 273 ребенка. Детские сады посещают 238 детей, еще 10 детей находятся в </w:t>
      </w:r>
      <w:proofErr w:type="gramStart"/>
      <w:r>
        <w:rPr>
          <w:rFonts w:ascii="Times New Roman CYR" w:hAnsi="Times New Roman CYR" w:cs="Times New Roman CYR"/>
          <w:sz w:val="28"/>
          <w:szCs w:val="28"/>
        </w:rPr>
        <w:t>группе полного дня</w:t>
      </w:r>
      <w:proofErr w:type="gramEnd"/>
      <w:r>
        <w:rPr>
          <w:rFonts w:ascii="Times New Roman CYR" w:hAnsi="Times New Roman CYR" w:cs="Times New Roman CYR"/>
          <w:sz w:val="28"/>
          <w:szCs w:val="28"/>
        </w:rPr>
        <w:t xml:space="preserve"> при МКОУ </w:t>
      </w:r>
      <w:proofErr w:type="spellStart"/>
      <w:r>
        <w:rPr>
          <w:rFonts w:ascii="Times New Roman CYR" w:hAnsi="Times New Roman CYR" w:cs="Times New Roman CYR"/>
          <w:sz w:val="28"/>
          <w:szCs w:val="28"/>
        </w:rPr>
        <w:t>Вагинской</w:t>
      </w:r>
      <w:proofErr w:type="spellEnd"/>
      <w:r>
        <w:rPr>
          <w:rFonts w:ascii="Times New Roman CYR" w:hAnsi="Times New Roman CYR" w:cs="Times New Roman CYR"/>
          <w:sz w:val="28"/>
          <w:szCs w:val="28"/>
        </w:rPr>
        <w:t xml:space="preserve"> НШДС и 25 детей в МКОУ </w:t>
      </w:r>
      <w:proofErr w:type="spellStart"/>
      <w:r>
        <w:rPr>
          <w:rFonts w:ascii="Times New Roman CYR" w:hAnsi="Times New Roman CYR" w:cs="Times New Roman CYR"/>
          <w:sz w:val="28"/>
          <w:szCs w:val="28"/>
        </w:rPr>
        <w:t>Краснозаводская</w:t>
      </w:r>
      <w:proofErr w:type="spellEnd"/>
      <w:r>
        <w:rPr>
          <w:rFonts w:ascii="Times New Roman CYR" w:hAnsi="Times New Roman CYR" w:cs="Times New Roman CYR"/>
          <w:sz w:val="28"/>
          <w:szCs w:val="28"/>
        </w:rPr>
        <w:t xml:space="preserve"> СОШ. </w:t>
      </w:r>
    </w:p>
    <w:p w:rsidR="00CB01C4" w:rsidRDefault="00E179F9" w:rsidP="00CB01C4">
      <w:pPr>
        <w:autoSpaceDE w:val="0"/>
        <w:autoSpaceDN w:val="0"/>
        <w:adjustRightInd w:val="0"/>
        <w:ind w:firstLine="708"/>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очереди для определения в дошкольные образовательные учреждения района на 01.01.2017 от  0 до 7 лет состоит 117детей.</w:t>
      </w:r>
    </w:p>
    <w:p w:rsidR="00E179F9" w:rsidRDefault="00E179F9" w:rsidP="00CB01C4">
      <w:pPr>
        <w:autoSpaceDE w:val="0"/>
        <w:autoSpaceDN w:val="0"/>
        <w:adjustRightInd w:val="0"/>
        <w:ind w:firstLine="708"/>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Групп семейного воспитания при действующих детских садах, кратковременного пребывания при общеобразовательных учреждениях, а также частных и ведомственных ДОУ на территории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нет. </w:t>
      </w:r>
    </w:p>
    <w:p w:rsidR="00CB01C4" w:rsidRDefault="00CB01C4">
      <w:pPr>
        <w:widowControl w:val="0"/>
        <w:autoSpaceDE w:val="0"/>
        <w:autoSpaceDN w:val="0"/>
        <w:adjustRightInd w:val="0"/>
        <w:spacing w:after="0" w:line="240" w:lineRule="auto"/>
        <w:rPr>
          <w:rFonts w:ascii="Arial" w:hAnsi="Arial" w:cs="Arial"/>
          <w:sz w:val="20"/>
          <w:szCs w:val="20"/>
        </w:rPr>
      </w:pPr>
    </w:p>
    <w:p w:rsidR="00E179F9" w:rsidRDefault="00E179F9" w:rsidP="00CB01C4">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9. </w:t>
      </w:r>
      <w:r>
        <w:rPr>
          <w:rFonts w:ascii="Times New Roman CYR" w:hAnsi="Times New Roman CYR" w:cs="Times New Roman CYR"/>
          <w:b/>
          <w:bCs/>
          <w:color w:val="000000"/>
          <w:sz w:val="28"/>
          <w:szCs w:val="28"/>
        </w:rPr>
        <w:t>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p>
    <w:p w:rsidR="00E179F9" w:rsidRDefault="00E179F9" w:rsidP="00CB01C4">
      <w:pPr>
        <w:autoSpaceDE w:val="0"/>
        <w:autoSpaceDN w:val="0"/>
        <w:adjustRightInd w:val="0"/>
        <w:ind w:firstLine="708"/>
        <w:jc w:val="both"/>
        <w:rPr>
          <w:rFonts w:ascii="Arial" w:hAnsi="Arial" w:cs="Arial"/>
          <w:sz w:val="20"/>
          <w:szCs w:val="20"/>
        </w:rPr>
      </w:pPr>
      <w:r>
        <w:rPr>
          <w:rFonts w:ascii="Times New Roman CYR" w:hAnsi="Times New Roman CYR" w:cs="Times New Roman CYR"/>
          <w:sz w:val="28"/>
          <w:szCs w:val="28"/>
        </w:rPr>
        <w:t xml:space="preserve">Доля детей в возрасте 1-6 лет, получающих в 2016 году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составила 30,2%. К 2019 году этот показатель составит 33%. </w:t>
      </w:r>
      <w:r>
        <w:rPr>
          <w:rFonts w:ascii="Arial" w:hAnsi="Arial" w:cs="Arial"/>
          <w:sz w:val="20"/>
          <w:szCs w:val="20"/>
        </w:rPr>
        <w:t xml:space="preserve"> </w:t>
      </w:r>
    </w:p>
    <w:p w:rsidR="00E179F9" w:rsidRDefault="00E179F9" w:rsidP="00CB01C4">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10. </w:t>
      </w:r>
      <w:r>
        <w:rPr>
          <w:rFonts w:ascii="Times New Roman CYR" w:hAnsi="Times New Roman CYR" w:cs="Times New Roman CYR"/>
          <w:b/>
          <w:bCs/>
          <w:color w:val="000000"/>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E179F9" w:rsidRDefault="00E179F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детей в возрасте 1-6 лет, желающих поступить с 01.09.2016 г. в муниципальные дошкольные образовательные учреждения, в общей численности детей в возрасте 1 - 6 лет составила за 2016 </w:t>
      </w:r>
      <w:proofErr w:type="spellStart"/>
      <w:r>
        <w:rPr>
          <w:rFonts w:ascii="Times New Roman CYR" w:hAnsi="Times New Roman CYR" w:cs="Times New Roman CYR"/>
          <w:sz w:val="28"/>
          <w:szCs w:val="28"/>
        </w:rPr>
        <w:t>годсоставила</w:t>
      </w:r>
      <w:proofErr w:type="spellEnd"/>
      <w:r>
        <w:rPr>
          <w:rFonts w:ascii="Times New Roman CYR" w:hAnsi="Times New Roman CYR" w:cs="Times New Roman CYR"/>
          <w:sz w:val="28"/>
          <w:szCs w:val="28"/>
        </w:rPr>
        <w:t xml:space="preserve"> 0%. </w:t>
      </w:r>
    </w:p>
    <w:p w:rsidR="00E179F9" w:rsidRDefault="00E179F9" w:rsidP="00CB01C4">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11. </w:t>
      </w:r>
      <w:r>
        <w:rPr>
          <w:rFonts w:ascii="Times New Roman CYR" w:hAnsi="Times New Roman CYR" w:cs="Times New Roman CYR"/>
          <w:b/>
          <w:bCs/>
          <w:color w:val="000000"/>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E179F9" w:rsidRDefault="00E179F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на территории района в 2016 года составила 0 %.</w:t>
      </w:r>
    </w:p>
    <w:p w:rsidR="00E179F9" w:rsidRDefault="00E179F9">
      <w:pPr>
        <w:widowControl w:val="0"/>
        <w:autoSpaceDE w:val="0"/>
        <w:autoSpaceDN w:val="0"/>
        <w:adjustRightInd w:val="0"/>
        <w:spacing w:after="0" w:line="240" w:lineRule="auto"/>
        <w:rPr>
          <w:rFonts w:ascii="Arial" w:hAnsi="Arial" w:cs="Arial"/>
          <w:sz w:val="16"/>
          <w:szCs w:val="16"/>
        </w:rPr>
      </w:pPr>
    </w:p>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179F9" w:rsidRDefault="00E179F9">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III. </w:t>
      </w:r>
      <w:r>
        <w:rPr>
          <w:rFonts w:ascii="Times New Roman CYR" w:hAnsi="Times New Roman CYR" w:cs="Times New Roman CYR"/>
          <w:b/>
          <w:bCs/>
          <w:color w:val="000000"/>
          <w:sz w:val="28"/>
          <w:szCs w:val="28"/>
        </w:rPr>
        <w:t>Общее и дополнительное образование</w:t>
      </w:r>
    </w:p>
    <w:p w:rsidR="00E179F9" w:rsidRDefault="00E179F9" w:rsidP="00CB01C4">
      <w:pPr>
        <w:autoSpaceDE w:val="0"/>
        <w:autoSpaceDN w:val="0"/>
        <w:adjustRightInd w:val="0"/>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На 31.12.2016 года на территории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функционируют 10 учреждений в системе общего образования и одно общеобразовательное учреждение </w:t>
      </w:r>
      <w:proofErr w:type="spellStart"/>
      <w:r>
        <w:rPr>
          <w:rFonts w:ascii="Times New Roman CYR" w:hAnsi="Times New Roman CYR" w:cs="Times New Roman CYR"/>
          <w:sz w:val="28"/>
          <w:szCs w:val="28"/>
        </w:rPr>
        <w:t>Вагинская</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начальная</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школа-детский</w:t>
      </w:r>
      <w:proofErr w:type="spellEnd"/>
      <w:r>
        <w:rPr>
          <w:rFonts w:ascii="Times New Roman CYR" w:hAnsi="Times New Roman CYR" w:cs="Times New Roman CYR"/>
          <w:sz w:val="28"/>
          <w:szCs w:val="28"/>
        </w:rPr>
        <w:t xml:space="preserve"> сад.</w:t>
      </w:r>
    </w:p>
    <w:p w:rsidR="00E179F9" w:rsidRDefault="00E179F9" w:rsidP="00CB01C4">
      <w:pPr>
        <w:autoSpaceDE w:val="0"/>
        <w:autoSpaceDN w:val="0"/>
        <w:adjustRightInd w:val="0"/>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31.12.2016 г. общее количество обучающихся школ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составило 1085 человек. </w:t>
      </w:r>
    </w:p>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179F9" w:rsidRDefault="00E179F9" w:rsidP="00CB01C4">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13. </w:t>
      </w:r>
      <w:r>
        <w:rPr>
          <w:rFonts w:ascii="Times New Roman CYR" w:hAnsi="Times New Roman CYR" w:cs="Times New Roman CYR"/>
          <w:b/>
          <w:bCs/>
          <w:color w:val="000000"/>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E179F9" w:rsidRDefault="00E179F9">
      <w:pPr>
        <w:autoSpaceDE w:val="0"/>
        <w:autoSpaceDN w:val="0"/>
        <w:adjustRightInd w:val="0"/>
        <w:ind w:firstLine="708"/>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 государственной итоговой аттестации по программам среднего общего образования по математике и русскому языку были допущены 39 обучающихся, из них 35 обучающихся получили аттестат о среднем общем образовании.</w:t>
      </w:r>
      <w:proofErr w:type="gramEnd"/>
      <w:r>
        <w:rPr>
          <w:rFonts w:ascii="Times New Roman CYR" w:hAnsi="Times New Roman CYR" w:cs="Times New Roman CYR"/>
          <w:sz w:val="28"/>
          <w:szCs w:val="28"/>
        </w:rPr>
        <w:t xml:space="preserve"> Таким </w:t>
      </w:r>
      <w:proofErr w:type="gramStart"/>
      <w:r>
        <w:rPr>
          <w:rFonts w:ascii="Times New Roman CYR" w:hAnsi="Times New Roman CYR" w:cs="Times New Roman CYR"/>
          <w:sz w:val="28"/>
          <w:szCs w:val="28"/>
        </w:rPr>
        <w:t>образом</w:t>
      </w:r>
      <w:proofErr w:type="gramEnd"/>
      <w:r>
        <w:rPr>
          <w:rFonts w:ascii="Times New Roman CYR" w:hAnsi="Times New Roman CYR" w:cs="Times New Roman CYR"/>
          <w:sz w:val="28"/>
          <w:szCs w:val="28"/>
        </w:rPr>
        <w:t xml:space="preserve"> доля выпускников, не получивших аттестат, составила в 2016 году 10,25%, что на 8,25% выше (в 2015 году – 2%).</w:t>
      </w:r>
    </w:p>
    <w:p w:rsidR="00E179F9" w:rsidRDefault="00E179F9" w:rsidP="00CB01C4">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14. </w:t>
      </w:r>
      <w:r>
        <w:rPr>
          <w:rFonts w:ascii="Times New Roman CYR" w:hAnsi="Times New Roman CYR" w:cs="Times New Roman CYR"/>
          <w:b/>
          <w:bCs/>
          <w:color w:val="000000"/>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179F9" w:rsidRDefault="00E179F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составила в 2016 году 82,95 %. К 2019 году 83,6 % муниципальных общеобразовательных учреждений будут укомплектованы современным оборудованием.</w:t>
      </w:r>
    </w:p>
    <w:p w:rsidR="00E179F9" w:rsidRDefault="00E179F9" w:rsidP="00CB01C4">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15. </w:t>
      </w:r>
      <w:r>
        <w:rPr>
          <w:rFonts w:ascii="Times New Roman CYR" w:hAnsi="Times New Roman CYR" w:cs="Times New Roman CYR"/>
          <w:b/>
          <w:bCs/>
          <w:color w:val="000000"/>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E179F9" w:rsidRDefault="00E179F9" w:rsidP="00CB01C4">
      <w:pPr>
        <w:autoSpaceDE w:val="0"/>
        <w:autoSpaceDN w:val="0"/>
        <w:adjustRightInd w:val="0"/>
        <w:spacing w:after="0" w:line="240" w:lineRule="auto"/>
        <w:ind w:firstLine="708"/>
        <w:jc w:val="both"/>
        <w:rPr>
          <w:rFonts w:ascii="Arial" w:hAnsi="Arial" w:cs="Arial"/>
          <w:sz w:val="16"/>
          <w:szCs w:val="16"/>
        </w:rPr>
      </w:pPr>
      <w:r>
        <w:rPr>
          <w:rFonts w:ascii="Times New Roman CYR" w:hAnsi="Times New Roman CYR" w:cs="Times New Roman CYR"/>
          <w:sz w:val="28"/>
          <w:szCs w:val="28"/>
        </w:rPr>
        <w:t xml:space="preserve">В 2016 году в одной школе, что составляет 9,09% от всех общеобразовательных учреждений района, требовался капитальный ремонт: МКОУ </w:t>
      </w:r>
      <w:proofErr w:type="spellStart"/>
      <w:r>
        <w:rPr>
          <w:rFonts w:ascii="Times New Roman CYR" w:hAnsi="Times New Roman CYR" w:cs="Times New Roman CYR"/>
          <w:sz w:val="28"/>
          <w:szCs w:val="28"/>
        </w:rPr>
        <w:t>Краснозаводская</w:t>
      </w:r>
      <w:proofErr w:type="spellEnd"/>
      <w:r>
        <w:rPr>
          <w:rFonts w:ascii="Times New Roman CYR" w:hAnsi="Times New Roman CYR" w:cs="Times New Roman CYR"/>
          <w:sz w:val="28"/>
          <w:szCs w:val="28"/>
        </w:rPr>
        <w:t xml:space="preserve"> СОШ.</w:t>
      </w:r>
    </w:p>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179F9" w:rsidRDefault="00E179F9" w:rsidP="00CB01C4">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16. </w:t>
      </w:r>
      <w:r>
        <w:rPr>
          <w:rFonts w:ascii="Times New Roman CYR" w:hAnsi="Times New Roman CYR" w:cs="Times New Roman CYR"/>
          <w:b/>
          <w:bCs/>
          <w:color w:val="000000"/>
          <w:sz w:val="28"/>
          <w:szCs w:val="28"/>
        </w:rPr>
        <w:t xml:space="preserve">Доля детей первой и второй групп здоровья в общей </w:t>
      </w:r>
      <w:proofErr w:type="gramStart"/>
      <w:r>
        <w:rPr>
          <w:rFonts w:ascii="Times New Roman CYR" w:hAnsi="Times New Roman CYR" w:cs="Times New Roman CYR"/>
          <w:b/>
          <w:bCs/>
          <w:color w:val="000000"/>
          <w:sz w:val="28"/>
          <w:szCs w:val="28"/>
        </w:rPr>
        <w:t>численности</w:t>
      </w:r>
      <w:proofErr w:type="gramEnd"/>
      <w:r>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p>
    <w:p w:rsidR="00E179F9" w:rsidRDefault="00E179F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детей первой и второй групп здоровья в общей </w:t>
      </w:r>
      <w:proofErr w:type="gramStart"/>
      <w:r>
        <w:rPr>
          <w:rFonts w:ascii="Times New Roman CYR" w:hAnsi="Times New Roman CYR" w:cs="Times New Roman CYR"/>
          <w:sz w:val="28"/>
          <w:szCs w:val="28"/>
        </w:rPr>
        <w:t>численности</w:t>
      </w:r>
      <w:proofErr w:type="gramEnd"/>
      <w:r>
        <w:rPr>
          <w:rFonts w:ascii="Times New Roman CYR" w:hAnsi="Times New Roman CYR" w:cs="Times New Roman CYR"/>
          <w:sz w:val="28"/>
          <w:szCs w:val="28"/>
        </w:rPr>
        <w:t xml:space="preserve"> обучающихся в муниципальных общеобразовательных учреждениях составила в 2016 году 82,13 (в 2015 году - 78,78%). В 5-и общеобразовательных учреждениях района функционируют </w:t>
      </w:r>
      <w:proofErr w:type="spellStart"/>
      <w:proofErr w:type="gramStart"/>
      <w:r>
        <w:rPr>
          <w:rFonts w:ascii="Times New Roman CYR" w:hAnsi="Times New Roman CYR" w:cs="Times New Roman CYR"/>
          <w:sz w:val="28"/>
          <w:szCs w:val="28"/>
        </w:rPr>
        <w:t>физкультурно</w:t>
      </w:r>
      <w:proofErr w:type="spellEnd"/>
      <w:r>
        <w:rPr>
          <w:rFonts w:ascii="Times New Roman CYR" w:hAnsi="Times New Roman CYR" w:cs="Times New Roman CYR"/>
          <w:sz w:val="28"/>
          <w:szCs w:val="28"/>
        </w:rPr>
        <w:t>- спортивные</w:t>
      </w:r>
      <w:proofErr w:type="gramEnd"/>
      <w:r>
        <w:rPr>
          <w:rFonts w:ascii="Times New Roman CYR" w:hAnsi="Times New Roman CYR" w:cs="Times New Roman CYR"/>
          <w:sz w:val="28"/>
          <w:szCs w:val="28"/>
        </w:rPr>
        <w:t xml:space="preserve"> клубы, во всех школах налажено горячее питание обучающихся, регулярно проводятся </w:t>
      </w:r>
      <w:r>
        <w:rPr>
          <w:rFonts w:ascii="Times New Roman CYR" w:hAnsi="Times New Roman CYR" w:cs="Times New Roman CYR"/>
          <w:sz w:val="28"/>
          <w:szCs w:val="28"/>
        </w:rPr>
        <w:lastRenderedPageBreak/>
        <w:t xml:space="preserve">профилактические мероприятия. К 2019 году доля детей первой и второй групп здоровья в общей </w:t>
      </w:r>
      <w:proofErr w:type="gramStart"/>
      <w:r>
        <w:rPr>
          <w:rFonts w:ascii="Times New Roman CYR" w:hAnsi="Times New Roman CYR" w:cs="Times New Roman CYR"/>
          <w:sz w:val="28"/>
          <w:szCs w:val="28"/>
        </w:rPr>
        <w:t>численности</w:t>
      </w:r>
      <w:proofErr w:type="gramEnd"/>
      <w:r>
        <w:rPr>
          <w:rFonts w:ascii="Times New Roman CYR" w:hAnsi="Times New Roman CYR" w:cs="Times New Roman CYR"/>
          <w:sz w:val="28"/>
          <w:szCs w:val="28"/>
        </w:rPr>
        <w:t xml:space="preserve"> обучающихся в муниципальных общеобразовательных учреждениях составит 83,6%.</w:t>
      </w:r>
    </w:p>
    <w:p w:rsidR="00E179F9" w:rsidRDefault="00E179F9" w:rsidP="00CB01C4">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17. </w:t>
      </w:r>
      <w:r>
        <w:rPr>
          <w:rFonts w:ascii="Times New Roman CYR" w:hAnsi="Times New Roman CYR" w:cs="Times New Roman CYR"/>
          <w:b/>
          <w:bCs/>
          <w:color w:val="000000"/>
          <w:sz w:val="28"/>
          <w:szCs w:val="28"/>
        </w:rPr>
        <w:t xml:space="preserve">Доля обучающихся в муниципальных общеобразовательных учреждениях, занимающихся во вторую (третью) смену, в общей </w:t>
      </w:r>
      <w:proofErr w:type="gramStart"/>
      <w:r>
        <w:rPr>
          <w:rFonts w:ascii="Times New Roman CYR" w:hAnsi="Times New Roman CYR" w:cs="Times New Roman CYR"/>
          <w:b/>
          <w:bCs/>
          <w:color w:val="000000"/>
          <w:sz w:val="28"/>
          <w:szCs w:val="28"/>
        </w:rPr>
        <w:t>численности</w:t>
      </w:r>
      <w:proofErr w:type="gramEnd"/>
      <w:r>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p>
    <w:p w:rsidR="00E179F9" w:rsidRDefault="00E179F9" w:rsidP="00CB01C4">
      <w:pPr>
        <w:autoSpaceDE w:val="0"/>
        <w:autoSpaceDN w:val="0"/>
        <w:adjustRightInd w:val="0"/>
        <w:spacing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обучающихся в муниципальных общеобразовательных учреждениях, занимающихся во вторую смену, в общей </w:t>
      </w:r>
      <w:proofErr w:type="gramStart"/>
      <w:r>
        <w:rPr>
          <w:rFonts w:ascii="Times New Roman CYR" w:hAnsi="Times New Roman CYR" w:cs="Times New Roman CYR"/>
          <w:sz w:val="28"/>
          <w:szCs w:val="28"/>
        </w:rPr>
        <w:t>численности</w:t>
      </w:r>
      <w:proofErr w:type="gramEnd"/>
      <w:r>
        <w:rPr>
          <w:rFonts w:ascii="Times New Roman CYR" w:hAnsi="Times New Roman CYR" w:cs="Times New Roman CYR"/>
          <w:sz w:val="28"/>
          <w:szCs w:val="28"/>
        </w:rPr>
        <w:t xml:space="preserve"> обучающихся в муниципальных общеобразовательных учреждениях в 2016 составила 6,61%.</w:t>
      </w:r>
    </w:p>
    <w:p w:rsidR="00E179F9" w:rsidRDefault="00E179F9" w:rsidP="00CB01C4">
      <w:pPr>
        <w:autoSpaceDE w:val="0"/>
        <w:autoSpaceDN w:val="0"/>
        <w:adjustRightInd w:val="0"/>
        <w:spacing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районе во вторую смену занимаются </w:t>
      </w:r>
      <w:proofErr w:type="gramStart"/>
      <w:r>
        <w:rPr>
          <w:rFonts w:ascii="Times New Roman CYR" w:hAnsi="Times New Roman CYR" w:cs="Times New Roman CYR"/>
          <w:sz w:val="28"/>
          <w:szCs w:val="28"/>
        </w:rPr>
        <w:t>обучающиеся</w:t>
      </w:r>
      <w:proofErr w:type="gramEnd"/>
      <w:r>
        <w:rPr>
          <w:rFonts w:ascii="Times New Roman CYR" w:hAnsi="Times New Roman CYR" w:cs="Times New Roman CYR"/>
          <w:sz w:val="28"/>
          <w:szCs w:val="28"/>
        </w:rPr>
        <w:t xml:space="preserve"> МКОУ </w:t>
      </w:r>
      <w:proofErr w:type="spellStart"/>
      <w:r>
        <w:rPr>
          <w:rFonts w:ascii="Times New Roman CYR" w:hAnsi="Times New Roman CYR" w:cs="Times New Roman CYR"/>
          <w:sz w:val="28"/>
          <w:szCs w:val="28"/>
        </w:rPr>
        <w:t>Вагинской</w:t>
      </w:r>
      <w:proofErr w:type="spellEnd"/>
      <w:r>
        <w:rPr>
          <w:rFonts w:ascii="Times New Roman CYR" w:hAnsi="Times New Roman CYR" w:cs="Times New Roman CYR"/>
          <w:sz w:val="28"/>
          <w:szCs w:val="28"/>
        </w:rPr>
        <w:t xml:space="preserve"> НШДС, МБОУ </w:t>
      </w:r>
      <w:proofErr w:type="spellStart"/>
      <w:r>
        <w:rPr>
          <w:rFonts w:ascii="Times New Roman CYR" w:hAnsi="Times New Roman CYR" w:cs="Times New Roman CYR"/>
          <w:sz w:val="28"/>
          <w:szCs w:val="28"/>
        </w:rPr>
        <w:t>Боготольской</w:t>
      </w:r>
      <w:proofErr w:type="spellEnd"/>
      <w:r>
        <w:rPr>
          <w:rFonts w:ascii="Times New Roman CYR" w:hAnsi="Times New Roman CYR" w:cs="Times New Roman CYR"/>
          <w:sz w:val="28"/>
          <w:szCs w:val="28"/>
        </w:rPr>
        <w:t xml:space="preserve"> СОШ и МКОУ </w:t>
      </w:r>
      <w:proofErr w:type="spellStart"/>
      <w:r>
        <w:rPr>
          <w:rFonts w:ascii="Times New Roman CYR" w:hAnsi="Times New Roman CYR" w:cs="Times New Roman CYR"/>
          <w:sz w:val="28"/>
          <w:szCs w:val="28"/>
        </w:rPr>
        <w:t>Краснозаводской</w:t>
      </w:r>
      <w:proofErr w:type="spellEnd"/>
      <w:r>
        <w:rPr>
          <w:rFonts w:ascii="Times New Roman CYR" w:hAnsi="Times New Roman CYR" w:cs="Times New Roman CYR"/>
          <w:sz w:val="28"/>
          <w:szCs w:val="28"/>
        </w:rPr>
        <w:t xml:space="preserve"> СОШ. В связи с небольшой проектной мощностью нет возможности организовать обучение  в одну смену.</w:t>
      </w:r>
    </w:p>
    <w:p w:rsidR="00E179F9" w:rsidRDefault="00E179F9">
      <w:pPr>
        <w:widowControl w:val="0"/>
        <w:autoSpaceDE w:val="0"/>
        <w:autoSpaceDN w:val="0"/>
        <w:adjustRightInd w:val="0"/>
        <w:spacing w:after="0" w:line="240" w:lineRule="auto"/>
        <w:rPr>
          <w:rFonts w:ascii="Arial" w:hAnsi="Arial" w:cs="Arial"/>
          <w:sz w:val="20"/>
          <w:szCs w:val="20"/>
        </w:rPr>
      </w:pPr>
    </w:p>
    <w:p w:rsidR="00E179F9" w:rsidRDefault="00E179F9" w:rsidP="00CB01C4">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18. </w:t>
      </w:r>
      <w:r>
        <w:rPr>
          <w:rFonts w:ascii="Times New Roman CYR" w:hAnsi="Times New Roman CYR" w:cs="Times New Roman CYR"/>
          <w:b/>
          <w:bCs/>
          <w:color w:val="000000"/>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E179F9" w:rsidRDefault="00E179F9" w:rsidP="00CB01C4">
      <w:pPr>
        <w:autoSpaceDE w:val="0"/>
        <w:autoSpaceDN w:val="0"/>
        <w:adjustRightInd w:val="0"/>
        <w:spacing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 в 2016 году составили 45,99 тыс</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 Снижение по сравнению с 2015 годом связано с изменением методики расчета данного показателя.</w:t>
      </w:r>
    </w:p>
    <w:p w:rsidR="00E179F9" w:rsidRDefault="00E179F9" w:rsidP="00CB01C4">
      <w:pPr>
        <w:autoSpaceDE w:val="0"/>
        <w:autoSpaceDN w:val="0"/>
        <w:adjustRightInd w:val="0"/>
        <w:spacing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2017-2019 гг. расходы бюджета муниципального образования на общее образование в расчете на 1 обучающегося в муниципальных общеобразовательных учреждениях составят 44,64 тыс</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 в год.</w:t>
      </w:r>
    </w:p>
    <w:p w:rsidR="00E179F9" w:rsidRDefault="00E179F9">
      <w:pPr>
        <w:widowControl w:val="0"/>
        <w:autoSpaceDE w:val="0"/>
        <w:autoSpaceDN w:val="0"/>
        <w:adjustRightInd w:val="0"/>
        <w:spacing w:after="0" w:line="240" w:lineRule="auto"/>
        <w:rPr>
          <w:rFonts w:ascii="Arial" w:hAnsi="Arial" w:cs="Arial"/>
          <w:sz w:val="16"/>
          <w:szCs w:val="16"/>
        </w:rPr>
      </w:pPr>
    </w:p>
    <w:p w:rsidR="00E179F9" w:rsidRDefault="00E179F9" w:rsidP="00623F3C">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19. </w:t>
      </w:r>
      <w:r>
        <w:rPr>
          <w:rFonts w:ascii="Times New Roman CYR" w:hAnsi="Times New Roman CYR" w:cs="Times New Roman CYR"/>
          <w:b/>
          <w:bCs/>
          <w:color w:val="000000"/>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E179F9" w:rsidRDefault="00E179F9" w:rsidP="00623F3C">
      <w:pPr>
        <w:autoSpaceDE w:val="0"/>
        <w:autoSpaceDN w:val="0"/>
        <w:adjustRightInd w:val="0"/>
        <w:spacing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Большинство обучающихся общеобразовательных учреждений охвачены системой дополнительного образования (кружки по интересам, спортивные секции и пр.).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составила в 2016 году 55,89%.</w:t>
      </w:r>
    </w:p>
    <w:p w:rsidR="00E179F9" w:rsidRDefault="00E179F9" w:rsidP="00623F3C">
      <w:pPr>
        <w:autoSpaceDE w:val="0"/>
        <w:autoSpaceDN w:val="0"/>
        <w:adjustRightInd w:val="0"/>
        <w:spacing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Обеспечено стабильное функционирование при школах кружков различной направленности. Помимо кружков в общеобразовательных учреждениях обучающиеся посещают МБОУ ДОД «Детская музыкальная школа»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и МБУ Спортивно-оздоровительный клуб «Олимпиец». </w:t>
      </w:r>
    </w:p>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179F9" w:rsidRDefault="00E179F9">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lastRenderedPageBreak/>
        <w:t xml:space="preserve"> </w:t>
      </w:r>
      <w:r>
        <w:rPr>
          <w:rFonts w:ascii="Times New Roman" w:hAnsi="Times New Roman" w:cs="Times New Roman"/>
          <w:b/>
          <w:bCs/>
          <w:color w:val="000000"/>
          <w:sz w:val="28"/>
          <w:szCs w:val="28"/>
        </w:rPr>
        <w:t xml:space="preserve">IV. </w:t>
      </w:r>
      <w:r>
        <w:rPr>
          <w:rFonts w:ascii="Times New Roman CYR" w:hAnsi="Times New Roman CYR" w:cs="Times New Roman CYR"/>
          <w:b/>
          <w:bCs/>
          <w:color w:val="000000"/>
          <w:sz w:val="28"/>
          <w:szCs w:val="28"/>
        </w:rPr>
        <w:t>Культура</w:t>
      </w: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proofErr w:type="gramStart"/>
      <w:r>
        <w:rPr>
          <w:rFonts w:ascii="Times New Roman CYR" w:hAnsi="Times New Roman CYR" w:cs="Times New Roman CYR"/>
          <w:sz w:val="28"/>
          <w:szCs w:val="28"/>
        </w:rPr>
        <w:t>На конец</w:t>
      </w:r>
      <w:proofErr w:type="gramEnd"/>
      <w:r>
        <w:rPr>
          <w:rFonts w:ascii="Times New Roman CYR" w:hAnsi="Times New Roman CYR" w:cs="Times New Roman CYR"/>
          <w:sz w:val="28"/>
          <w:szCs w:val="28"/>
        </w:rPr>
        <w:t xml:space="preserve"> 2016 года в  отрасли функционировали  45 сетевых единиц. Из них 26 сельских клубов, 18 сельских библиотек, 1 детская музыкальная школа.</w:t>
      </w:r>
    </w:p>
    <w:p w:rsidR="00E179F9" w:rsidRDefault="00E179F9">
      <w:pPr>
        <w:widowControl w:val="0"/>
        <w:autoSpaceDE w:val="0"/>
        <w:autoSpaceDN w:val="0"/>
        <w:adjustRightInd w:val="0"/>
        <w:spacing w:after="0" w:line="240" w:lineRule="auto"/>
        <w:rPr>
          <w:rFonts w:ascii="Arial" w:hAnsi="Arial" w:cs="Arial"/>
          <w:sz w:val="16"/>
          <w:szCs w:val="16"/>
        </w:rPr>
      </w:pPr>
      <w:r>
        <w:rPr>
          <w:rFonts w:ascii="Times New Roman CYR" w:hAnsi="Times New Roman CYR" w:cs="Times New Roman CYR"/>
          <w:sz w:val="28"/>
          <w:szCs w:val="28"/>
        </w:rPr>
        <w:tab/>
        <w:t xml:space="preserve"> Основные показатели деятельности учреждений культуры остаются стабильными, снижения показателей в 2016 году не произошло. К 2019 году снижения показателей по отрасли в районе не ожидается. </w:t>
      </w:r>
    </w:p>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179F9" w:rsidRDefault="00E179F9">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20. </w:t>
      </w:r>
      <w:r>
        <w:rPr>
          <w:rFonts w:ascii="Times New Roman CYR" w:hAnsi="Times New Roman CYR" w:cs="Times New Roman CYR"/>
          <w:b/>
          <w:bCs/>
          <w:color w:val="000000"/>
          <w:sz w:val="28"/>
          <w:szCs w:val="28"/>
        </w:rPr>
        <w:t>Уровень фактической обеспеченности учреждениями культуры от нормативной потребности:</w:t>
      </w: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Уровень фактической обеспеченности учреждениями культуры от нормативной потребности в среднем составляет 87,5%.</w:t>
      </w:r>
    </w:p>
    <w:p w:rsidR="00E179F9" w:rsidRDefault="00E179F9">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CYR" w:hAnsi="Times New Roman CYR" w:cs="Times New Roman CYR"/>
          <w:b/>
          <w:bCs/>
          <w:color w:val="000000"/>
          <w:sz w:val="28"/>
          <w:szCs w:val="28"/>
        </w:rPr>
        <w:t>клубами и учреждениями клубного типа</w:t>
      </w: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-уровень фактической обеспеченности клубами и учреждениями клубного типа в муниципальном районе от нормативной потребности составил за 2016 год 100%.</w:t>
      </w:r>
    </w:p>
    <w:p w:rsidR="00E179F9" w:rsidRDefault="00E179F9">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CYR" w:hAnsi="Times New Roman CYR" w:cs="Times New Roman CYR"/>
          <w:b/>
          <w:bCs/>
          <w:color w:val="000000"/>
          <w:sz w:val="28"/>
          <w:szCs w:val="28"/>
        </w:rPr>
        <w:t>библиотеками</w:t>
      </w: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уровень фактической обеспеченности библиотеками – 75 % (плановая потребность согласно нормативам 24 библиотеки, фактическая за 2016 г.-18).</w:t>
      </w:r>
    </w:p>
    <w:p w:rsidR="00E179F9" w:rsidRDefault="00E179F9">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парками культуры и отдыха</w:t>
      </w:r>
    </w:p>
    <w:p w:rsidR="00E179F9" w:rsidRDefault="00E179F9">
      <w:pPr>
        <w:widowControl w:val="0"/>
        <w:autoSpaceDE w:val="0"/>
        <w:autoSpaceDN w:val="0"/>
        <w:adjustRightInd w:val="0"/>
        <w:spacing w:after="0" w:line="240" w:lineRule="auto"/>
        <w:rPr>
          <w:rFonts w:ascii="Arial" w:hAnsi="Arial" w:cs="Arial"/>
          <w:sz w:val="16"/>
          <w:szCs w:val="16"/>
        </w:rPr>
      </w:pPr>
      <w:r>
        <w:rPr>
          <w:rFonts w:ascii="Times New Roman CYR" w:hAnsi="Times New Roman CYR" w:cs="Times New Roman CYR"/>
          <w:sz w:val="28"/>
          <w:szCs w:val="28"/>
        </w:rPr>
        <w:t>Парки культуры и отдыха на территории района отсутствуют.</w:t>
      </w:r>
    </w:p>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179F9" w:rsidRDefault="00E179F9" w:rsidP="00623F3C">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21. </w:t>
      </w:r>
      <w:r>
        <w:rPr>
          <w:rFonts w:ascii="Times New Roman CYR" w:hAnsi="Times New Roman CYR" w:cs="Times New Roman CYR"/>
          <w:b/>
          <w:bCs/>
          <w:color w:val="000000"/>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E179F9" w:rsidRDefault="00E179F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01.01.2017 года общее количество учреждений культуры составляет 45 единиц, требуют капитального ремонта 19, находится в аварийном состоянии 1 (здание МБУК СДК с. Боготол). </w:t>
      </w:r>
    </w:p>
    <w:p w:rsidR="00E179F9" w:rsidRDefault="00E179F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муниципальных учреждения культуры, здания и помещения которых находятся в аварийном состоянии или </w:t>
      </w:r>
      <w:proofErr w:type="gramStart"/>
      <w:r>
        <w:rPr>
          <w:rFonts w:ascii="Times New Roman CYR" w:hAnsi="Times New Roman CYR" w:cs="Times New Roman CYR"/>
          <w:sz w:val="28"/>
          <w:szCs w:val="28"/>
        </w:rPr>
        <w:t>требуют капитального ремонта в общем  количестве муниципальных учреждений культуры за 2016 год составила</w:t>
      </w:r>
      <w:proofErr w:type="gramEnd"/>
      <w:r>
        <w:rPr>
          <w:rFonts w:ascii="Times New Roman CYR" w:hAnsi="Times New Roman CYR" w:cs="Times New Roman CYR"/>
          <w:sz w:val="28"/>
          <w:szCs w:val="28"/>
        </w:rPr>
        <w:t xml:space="preserve"> 44,44%. </w:t>
      </w:r>
    </w:p>
    <w:p w:rsidR="00E179F9" w:rsidRDefault="00E179F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2016 году планировалось закрытие сельских клубов в д. Георгиевка и д. Малая Косуль. На сегодняшний день эти объекты как учреждения культуры не функционируют, в д. Георгиевка здание требует капитального ремонта, в д. Малая Косуль из-за малого количества жителей. Однако в 2017 году их ликвидация не планируется.</w:t>
      </w:r>
    </w:p>
    <w:p w:rsidR="00E179F9" w:rsidRDefault="00E179F9">
      <w:pPr>
        <w:autoSpaceDE w:val="0"/>
        <w:autoSpaceDN w:val="0"/>
        <w:adjustRightInd w:val="0"/>
        <w:spacing w:after="0" w:line="240" w:lineRule="auto"/>
        <w:ind w:firstLine="708"/>
        <w:jc w:val="center"/>
        <w:rPr>
          <w:rFonts w:ascii="Times New Roman CYR" w:hAnsi="Times New Roman CYR" w:cs="Times New Roman CYR"/>
          <w:sz w:val="28"/>
          <w:szCs w:val="28"/>
          <w:u w:val="single"/>
        </w:rPr>
      </w:pPr>
      <w:r>
        <w:rPr>
          <w:rFonts w:ascii="Times New Roman CYR" w:hAnsi="Times New Roman CYR" w:cs="Times New Roman CYR"/>
          <w:b/>
          <w:bCs/>
          <w:sz w:val="28"/>
          <w:szCs w:val="28"/>
        </w:rPr>
        <w:t>Материально-техническая база учреждений культуры клубного типа(2016 год)</w:t>
      </w:r>
      <w:r w:rsidR="000455DF">
        <w:rPr>
          <w:rFonts w:ascii="Times New Roman CYR" w:hAnsi="Times New Roman CYR" w:cs="Times New Roman CYR"/>
          <w:b/>
          <w:bCs/>
          <w:sz w:val="28"/>
          <w:szCs w:val="28"/>
        </w:rPr>
        <w:t xml:space="preserve"> </w:t>
      </w:r>
      <w:proofErr w:type="spellStart"/>
      <w:r>
        <w:rPr>
          <w:rFonts w:ascii="Times New Roman CYR" w:hAnsi="Times New Roman CYR" w:cs="Times New Roman CYR"/>
          <w:sz w:val="28"/>
          <w:szCs w:val="28"/>
          <w:u w:val="single"/>
        </w:rPr>
        <w:t>Боготольского</w:t>
      </w:r>
      <w:proofErr w:type="spellEnd"/>
      <w:r>
        <w:rPr>
          <w:rFonts w:ascii="Times New Roman CYR" w:hAnsi="Times New Roman CYR" w:cs="Times New Roman CYR"/>
          <w:sz w:val="28"/>
          <w:szCs w:val="28"/>
          <w:u w:val="single"/>
        </w:rPr>
        <w:t xml:space="preserve"> района</w:t>
      </w:r>
    </w:p>
    <w:p w:rsidR="00E179F9" w:rsidRDefault="00E179F9">
      <w:pPr>
        <w:autoSpaceDE w:val="0"/>
        <w:autoSpaceDN w:val="0"/>
        <w:adjustRightInd w:val="0"/>
        <w:spacing w:after="0" w:line="240" w:lineRule="auto"/>
        <w:ind w:firstLine="708"/>
        <w:jc w:val="center"/>
        <w:rPr>
          <w:rFonts w:ascii="Times New Roman CYR" w:hAnsi="Times New Roman CYR" w:cs="Times New Roman CYR"/>
          <w:sz w:val="28"/>
          <w:szCs w:val="28"/>
          <w:u w:val="single"/>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833"/>
        <w:gridCol w:w="1688"/>
        <w:gridCol w:w="2126"/>
      </w:tblGrid>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E179F9" w:rsidRDefault="00E179F9">
            <w:pPr>
              <w:autoSpaceDE w:val="0"/>
              <w:autoSpaceDN w:val="0"/>
              <w:adjustRightInd w:val="0"/>
              <w:spacing w:line="240" w:lineRule="auto"/>
              <w:jc w:val="both"/>
              <w:rPr>
                <w:rFonts w:ascii="Times New Roman CYR" w:hAnsi="Times New Roman CYR" w:cs="Times New Roman CYR"/>
                <w:b/>
                <w:bCs/>
                <w:sz w:val="28"/>
                <w:szCs w:val="28"/>
              </w:rPr>
            </w:pPr>
            <w:proofErr w:type="spellStart"/>
            <w:proofErr w:type="gramStart"/>
            <w:r>
              <w:rPr>
                <w:rFonts w:ascii="Times New Roman CYR" w:hAnsi="Times New Roman CYR" w:cs="Times New Roman CYR"/>
                <w:b/>
                <w:bCs/>
                <w:sz w:val="28"/>
                <w:szCs w:val="28"/>
              </w:rPr>
              <w:t>п</w:t>
            </w:r>
            <w:proofErr w:type="spellEnd"/>
            <w:proofErr w:type="gramEnd"/>
            <w:r>
              <w:rPr>
                <w:rFonts w:ascii="Times New Roman CYR" w:hAnsi="Times New Roman CYR" w:cs="Times New Roman CYR"/>
                <w:b/>
                <w:bCs/>
                <w:sz w:val="28"/>
                <w:szCs w:val="28"/>
              </w:rPr>
              <w:t>/</w:t>
            </w:r>
            <w:proofErr w:type="spellStart"/>
            <w:r>
              <w:rPr>
                <w:rFonts w:ascii="Times New Roman CYR" w:hAnsi="Times New Roman CYR" w:cs="Times New Roman CYR"/>
                <w:b/>
                <w:bCs/>
                <w:sz w:val="28"/>
                <w:szCs w:val="28"/>
              </w:rPr>
              <w:t>п</w:t>
            </w:r>
            <w:proofErr w:type="spellEnd"/>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Наименование учреждения культуры клубного типа</w:t>
            </w:r>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Число зданий, требующих капитального </w:t>
            </w:r>
            <w:r>
              <w:rPr>
                <w:rFonts w:ascii="Times New Roman CYR" w:hAnsi="Times New Roman CYR" w:cs="Times New Roman CYR"/>
                <w:b/>
                <w:bCs/>
                <w:sz w:val="28"/>
                <w:szCs w:val="28"/>
              </w:rPr>
              <w:lastRenderedPageBreak/>
              <w:t>ремонта</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Количество посадочных мест</w:t>
            </w:r>
          </w:p>
        </w:tc>
      </w:tr>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w:t>
            </w:r>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МБУК ЦКС с. </w:t>
            </w:r>
            <w:proofErr w:type="spellStart"/>
            <w:r>
              <w:rPr>
                <w:rFonts w:ascii="Times New Roman CYR" w:hAnsi="Times New Roman CYR" w:cs="Times New Roman CYR"/>
                <w:sz w:val="28"/>
                <w:szCs w:val="28"/>
              </w:rPr>
              <w:t>Медяково</w:t>
            </w:r>
            <w:proofErr w:type="spellEnd"/>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60</w:t>
            </w:r>
          </w:p>
        </w:tc>
      </w:tr>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МБУК ЦКС с. Медяков СК п. </w:t>
            </w:r>
            <w:proofErr w:type="spellStart"/>
            <w:r>
              <w:rPr>
                <w:rFonts w:ascii="Times New Roman CYR" w:hAnsi="Times New Roman CYR" w:cs="Times New Roman CYR"/>
                <w:sz w:val="28"/>
                <w:szCs w:val="28"/>
              </w:rPr>
              <w:t>Орга</w:t>
            </w:r>
            <w:proofErr w:type="spellEnd"/>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50</w:t>
            </w:r>
          </w:p>
        </w:tc>
      </w:tr>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w:t>
            </w:r>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МБУК ЦКС д. Ильинка СК </w:t>
            </w:r>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100</w:t>
            </w:r>
          </w:p>
        </w:tc>
      </w:tr>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4</w:t>
            </w:r>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МБУК ЦКС д.  Ильинка СК д. Дмитриевка</w:t>
            </w:r>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100</w:t>
            </w:r>
          </w:p>
        </w:tc>
      </w:tr>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5</w:t>
            </w:r>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МБУКЦКС с. Красный Завод</w:t>
            </w:r>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150</w:t>
            </w:r>
          </w:p>
        </w:tc>
      </w:tr>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6</w:t>
            </w:r>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МБУК ЦКС с. Красный Завод СК д. Красная речка</w:t>
            </w:r>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40</w:t>
            </w:r>
          </w:p>
        </w:tc>
      </w:tr>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7</w:t>
            </w:r>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МБУК ЦКС п. Чайковский</w:t>
            </w:r>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150</w:t>
            </w:r>
          </w:p>
        </w:tc>
      </w:tr>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8</w:t>
            </w:r>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МБУК ЦКС п. Чайковский СК д. Булатово</w:t>
            </w:r>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50</w:t>
            </w:r>
          </w:p>
        </w:tc>
      </w:tr>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9</w:t>
            </w:r>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МБУК ЦКС п. Чайковский д. </w:t>
            </w:r>
            <w:proofErr w:type="spellStart"/>
            <w:r>
              <w:rPr>
                <w:rFonts w:ascii="Times New Roman CYR" w:hAnsi="Times New Roman CYR" w:cs="Times New Roman CYR"/>
                <w:sz w:val="28"/>
                <w:szCs w:val="28"/>
              </w:rPr>
              <w:t>Шулдат</w:t>
            </w:r>
            <w:proofErr w:type="spellEnd"/>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60</w:t>
            </w:r>
          </w:p>
        </w:tc>
      </w:tr>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10</w:t>
            </w:r>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МБУК ЦКС с. </w:t>
            </w:r>
            <w:proofErr w:type="gramStart"/>
            <w:r>
              <w:rPr>
                <w:rFonts w:ascii="Times New Roman CYR" w:hAnsi="Times New Roman CYR" w:cs="Times New Roman CYR"/>
                <w:sz w:val="28"/>
                <w:szCs w:val="28"/>
              </w:rPr>
              <w:t>Большая</w:t>
            </w:r>
            <w:proofErr w:type="gramEnd"/>
            <w:r>
              <w:rPr>
                <w:rFonts w:ascii="Times New Roman CYR" w:hAnsi="Times New Roman CYR" w:cs="Times New Roman CYR"/>
                <w:sz w:val="28"/>
                <w:szCs w:val="28"/>
              </w:rPr>
              <w:t xml:space="preserve"> Косуль </w:t>
            </w:r>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200</w:t>
            </w:r>
          </w:p>
        </w:tc>
      </w:tr>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11</w:t>
            </w:r>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МБУК ЦКС п. Каштан</w:t>
            </w:r>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99</w:t>
            </w:r>
          </w:p>
        </w:tc>
      </w:tr>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12</w:t>
            </w:r>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МБУК СДК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Александровка</w:t>
            </w:r>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150</w:t>
            </w:r>
          </w:p>
        </w:tc>
      </w:tr>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13</w:t>
            </w:r>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МБУКЦКС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Юрьевка СК д. Берёзовка</w:t>
            </w:r>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70</w:t>
            </w:r>
          </w:p>
        </w:tc>
      </w:tr>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14</w:t>
            </w:r>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МБУК ЦКС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Юрьевка СК д. Лебедевка</w:t>
            </w:r>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50</w:t>
            </w:r>
          </w:p>
        </w:tc>
      </w:tr>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15</w:t>
            </w:r>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МБУК ЦКС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Юрьевка </w:t>
            </w:r>
            <w:proofErr w:type="spellStart"/>
            <w:r>
              <w:rPr>
                <w:rFonts w:ascii="Times New Roman CYR" w:hAnsi="Times New Roman CYR" w:cs="Times New Roman CYR"/>
                <w:sz w:val="28"/>
                <w:szCs w:val="28"/>
              </w:rPr>
              <w:t>СК.д</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В-Катеюл</w:t>
            </w:r>
            <w:proofErr w:type="spellEnd"/>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90</w:t>
            </w:r>
          </w:p>
        </w:tc>
      </w:tr>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16</w:t>
            </w:r>
          </w:p>
          <w:p w:rsidR="00E179F9" w:rsidRDefault="00E179F9">
            <w:pPr>
              <w:autoSpaceDE w:val="0"/>
              <w:autoSpaceDN w:val="0"/>
              <w:adjustRightInd w:val="0"/>
              <w:spacing w:line="240" w:lineRule="auto"/>
              <w:jc w:val="both"/>
              <w:rPr>
                <w:rFonts w:ascii="Times New Roman CYR" w:hAnsi="Times New Roman CYR" w:cs="Times New Roman CYR"/>
                <w:sz w:val="28"/>
                <w:szCs w:val="28"/>
              </w:rPr>
            </w:pPr>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МБУК ЦКС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Юрьевка д. Георгиевка</w:t>
            </w:r>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50</w:t>
            </w:r>
          </w:p>
        </w:tc>
      </w:tr>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17</w:t>
            </w:r>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МБУК ЦБС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(Центральная библиотека с. Боготол)</w:t>
            </w:r>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p>
        </w:tc>
      </w:tr>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18</w:t>
            </w:r>
          </w:p>
          <w:p w:rsidR="00E179F9" w:rsidRDefault="00E179F9">
            <w:pPr>
              <w:autoSpaceDE w:val="0"/>
              <w:autoSpaceDN w:val="0"/>
              <w:adjustRightInd w:val="0"/>
              <w:spacing w:line="240" w:lineRule="auto"/>
              <w:jc w:val="both"/>
              <w:rPr>
                <w:rFonts w:ascii="Times New Roman CYR" w:hAnsi="Times New Roman CYR" w:cs="Times New Roman CYR"/>
                <w:sz w:val="28"/>
                <w:szCs w:val="28"/>
              </w:rPr>
            </w:pPr>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МБУК ЦКС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Большая</w:t>
            </w:r>
            <w:proofErr w:type="gramEnd"/>
            <w:r>
              <w:rPr>
                <w:rFonts w:ascii="Times New Roman CYR" w:hAnsi="Times New Roman CYR" w:cs="Times New Roman CYR"/>
                <w:sz w:val="28"/>
                <w:szCs w:val="28"/>
              </w:rPr>
              <w:t xml:space="preserve"> Косуль д. Малая Косуль</w:t>
            </w:r>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50</w:t>
            </w:r>
          </w:p>
        </w:tc>
      </w:tr>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19</w:t>
            </w:r>
          </w:p>
          <w:p w:rsidR="00E179F9" w:rsidRDefault="00E179F9">
            <w:pPr>
              <w:autoSpaceDE w:val="0"/>
              <w:autoSpaceDN w:val="0"/>
              <w:adjustRightInd w:val="0"/>
              <w:spacing w:line="240" w:lineRule="auto"/>
              <w:jc w:val="both"/>
              <w:rPr>
                <w:rFonts w:ascii="Times New Roman CYR" w:hAnsi="Times New Roman CYR" w:cs="Times New Roman CYR"/>
                <w:sz w:val="28"/>
                <w:szCs w:val="28"/>
              </w:rPr>
            </w:pPr>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МБУК ЦКС </w:t>
            </w:r>
            <w:proofErr w:type="spellStart"/>
            <w:r>
              <w:rPr>
                <w:rFonts w:ascii="Times New Roman CYR" w:hAnsi="Times New Roman CYR" w:cs="Times New Roman CYR"/>
                <w:sz w:val="28"/>
                <w:szCs w:val="28"/>
              </w:rPr>
              <w:t>ЦКМс</w:t>
            </w:r>
            <w:proofErr w:type="spellEnd"/>
            <w:r>
              <w:rPr>
                <w:rFonts w:ascii="Times New Roman CYR" w:hAnsi="Times New Roman CYR" w:cs="Times New Roman CYR"/>
                <w:sz w:val="28"/>
                <w:szCs w:val="28"/>
              </w:rPr>
              <w:t xml:space="preserve"> с. </w:t>
            </w:r>
            <w:proofErr w:type="spellStart"/>
            <w:r>
              <w:rPr>
                <w:rFonts w:ascii="Times New Roman CYR" w:hAnsi="Times New Roman CYR" w:cs="Times New Roman CYR"/>
                <w:sz w:val="28"/>
                <w:szCs w:val="28"/>
              </w:rPr>
              <w:t>Критово</w:t>
            </w:r>
            <w:proofErr w:type="spellEnd"/>
            <w:r>
              <w:rPr>
                <w:rFonts w:ascii="Times New Roman CYR" w:hAnsi="Times New Roman CYR" w:cs="Times New Roman CYR"/>
                <w:sz w:val="28"/>
                <w:szCs w:val="28"/>
              </w:rPr>
              <w:t xml:space="preserve">   СК д. </w:t>
            </w:r>
            <w:proofErr w:type="spellStart"/>
            <w:r>
              <w:rPr>
                <w:rFonts w:ascii="Times New Roman CYR" w:hAnsi="Times New Roman CYR" w:cs="Times New Roman CYR"/>
                <w:sz w:val="28"/>
                <w:szCs w:val="28"/>
              </w:rPr>
              <w:t>Разгуляевка</w:t>
            </w:r>
            <w:proofErr w:type="spellEnd"/>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75</w:t>
            </w:r>
          </w:p>
        </w:tc>
      </w:tr>
      <w:tr w:rsidR="00E179F9">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E179F9" w:rsidRDefault="00E179F9">
            <w:pPr>
              <w:autoSpaceDE w:val="0"/>
              <w:autoSpaceDN w:val="0"/>
              <w:adjustRightInd w:val="0"/>
              <w:spacing w:line="240" w:lineRule="auto"/>
              <w:jc w:val="both"/>
              <w:rPr>
                <w:rFonts w:ascii="Times New Roman CYR" w:hAnsi="Times New Roman CYR" w:cs="Times New Roman CYR"/>
                <w:b/>
                <w:bCs/>
                <w:sz w:val="28"/>
                <w:szCs w:val="28"/>
              </w:rPr>
            </w:pPr>
            <w:proofErr w:type="spellStart"/>
            <w:proofErr w:type="gramStart"/>
            <w:r>
              <w:rPr>
                <w:rFonts w:ascii="Times New Roman CYR" w:hAnsi="Times New Roman CYR" w:cs="Times New Roman CYR"/>
                <w:b/>
                <w:bCs/>
                <w:sz w:val="28"/>
                <w:szCs w:val="28"/>
              </w:rPr>
              <w:t>п</w:t>
            </w:r>
            <w:proofErr w:type="spellEnd"/>
            <w:proofErr w:type="gramEnd"/>
            <w:r>
              <w:rPr>
                <w:rFonts w:ascii="Times New Roman CYR" w:hAnsi="Times New Roman CYR" w:cs="Times New Roman CYR"/>
                <w:b/>
                <w:bCs/>
                <w:sz w:val="28"/>
                <w:szCs w:val="28"/>
              </w:rPr>
              <w:t>/</w:t>
            </w:r>
            <w:proofErr w:type="spellStart"/>
            <w:r>
              <w:rPr>
                <w:rFonts w:ascii="Times New Roman CYR" w:hAnsi="Times New Roman CYR" w:cs="Times New Roman CYR"/>
                <w:b/>
                <w:bCs/>
                <w:sz w:val="28"/>
                <w:szCs w:val="28"/>
              </w:rPr>
              <w:t>п</w:t>
            </w:r>
            <w:proofErr w:type="spellEnd"/>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Наименование учреждения культуры клубного типа</w:t>
            </w:r>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Число зданий в аварийном состоянии</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Количество посадочных мест</w:t>
            </w:r>
          </w:p>
        </w:tc>
      </w:tr>
      <w:tr w:rsidR="00E179F9">
        <w:trPr>
          <w:trHeight w:val="187"/>
        </w:trPr>
        <w:tc>
          <w:tcPr>
            <w:tcW w:w="851" w:type="dxa"/>
            <w:tcBorders>
              <w:top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20</w:t>
            </w:r>
          </w:p>
        </w:tc>
        <w:tc>
          <w:tcPr>
            <w:tcW w:w="483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МБУК СДК с. Боготол</w:t>
            </w:r>
          </w:p>
        </w:tc>
        <w:tc>
          <w:tcPr>
            <w:tcW w:w="1688"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tcBorders>
          </w:tcPr>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210</w:t>
            </w:r>
          </w:p>
        </w:tc>
      </w:tr>
    </w:tbl>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p>
    <w:p w:rsidR="00E179F9" w:rsidRDefault="00E179F9">
      <w:pPr>
        <w:widowControl w:val="0"/>
        <w:autoSpaceDE w:val="0"/>
        <w:autoSpaceDN w:val="0"/>
        <w:adjustRightInd w:val="0"/>
        <w:spacing w:after="0" w:line="240" w:lineRule="auto"/>
        <w:rPr>
          <w:rFonts w:ascii="Arial" w:hAnsi="Arial" w:cs="Arial"/>
          <w:sz w:val="16"/>
          <w:szCs w:val="16"/>
        </w:rPr>
      </w:pPr>
    </w:p>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179F9" w:rsidRDefault="00E179F9" w:rsidP="00623F3C">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22. </w:t>
      </w:r>
      <w:r>
        <w:rPr>
          <w:rFonts w:ascii="Times New Roman CYR" w:hAnsi="Times New Roman CYR" w:cs="Times New Roman CYR"/>
          <w:b/>
          <w:bCs/>
          <w:color w:val="000000"/>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E179F9" w:rsidRDefault="00E179F9">
      <w:pPr>
        <w:widowControl w:val="0"/>
        <w:autoSpaceDE w:val="0"/>
        <w:autoSpaceDN w:val="0"/>
        <w:adjustRightInd w:val="0"/>
        <w:spacing w:after="0" w:line="240" w:lineRule="auto"/>
        <w:rPr>
          <w:rFonts w:ascii="Arial" w:hAnsi="Arial" w:cs="Arial"/>
          <w:sz w:val="16"/>
          <w:szCs w:val="16"/>
        </w:rPr>
      </w:pPr>
      <w:r>
        <w:rPr>
          <w:rFonts w:ascii="Times New Roman CYR" w:hAnsi="Times New Roman CYR" w:cs="Times New Roman CYR"/>
          <w:sz w:val="28"/>
          <w:szCs w:val="28"/>
        </w:rPr>
        <w:tab/>
        <w:t>Объектов культурного наследия  в муниципальной собственности нет</w:t>
      </w:r>
      <w:r>
        <w:rPr>
          <w:rFonts w:ascii="Times New Roman CYR" w:hAnsi="Times New Roman CYR" w:cs="Times New Roman CYR"/>
          <w:sz w:val="24"/>
          <w:szCs w:val="24"/>
        </w:rPr>
        <w:t>.</w:t>
      </w:r>
    </w:p>
    <w:p w:rsidR="00E179F9" w:rsidRDefault="00E179F9">
      <w:pPr>
        <w:widowControl w:val="0"/>
        <w:autoSpaceDE w:val="0"/>
        <w:autoSpaceDN w:val="0"/>
        <w:adjustRightInd w:val="0"/>
        <w:spacing w:after="0" w:line="240" w:lineRule="auto"/>
        <w:rPr>
          <w:rFonts w:ascii="Arial" w:hAnsi="Arial" w:cs="Arial"/>
          <w:sz w:val="16"/>
          <w:szCs w:val="16"/>
        </w:rPr>
      </w:pPr>
    </w:p>
    <w:p w:rsidR="00E179F9" w:rsidRDefault="00E179F9">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V. </w:t>
      </w:r>
      <w:r>
        <w:rPr>
          <w:rFonts w:ascii="Times New Roman CYR" w:hAnsi="Times New Roman CYR" w:cs="Times New Roman CYR"/>
          <w:b/>
          <w:bCs/>
          <w:color w:val="000000"/>
          <w:sz w:val="28"/>
          <w:szCs w:val="28"/>
        </w:rPr>
        <w:t>Физическая культура и спорт</w:t>
      </w: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В сфере физической культуры и спорта функционируют: муниципальное бюджетное учреждение спортивно – оздоровительный клуб «Олимпиец» (в его состав входят 5 спортивных клубов по месту жительства), муниципальное автономное учреждение спортивно-оздоровительная база отдыха «Сосновый бор», Местная общественная организация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"Туристический клуб БАТЫР".</w:t>
      </w:r>
    </w:p>
    <w:p w:rsidR="00E179F9" w:rsidRDefault="00E179F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формой физического воспитания в общеобразовательных школах являются уроки физической культуры. Дополнительные занятия проводятся в спортивных секциях и группах оздоровительной направленности. </w:t>
      </w:r>
    </w:p>
    <w:p w:rsidR="00E179F9" w:rsidRDefault="00E179F9">
      <w:pPr>
        <w:widowControl w:val="0"/>
        <w:autoSpaceDE w:val="0"/>
        <w:autoSpaceDN w:val="0"/>
        <w:adjustRightInd w:val="0"/>
        <w:spacing w:after="0" w:line="240" w:lineRule="auto"/>
        <w:rPr>
          <w:rFonts w:ascii="Arial" w:hAnsi="Arial" w:cs="Arial"/>
          <w:sz w:val="16"/>
          <w:szCs w:val="16"/>
        </w:rPr>
      </w:pPr>
    </w:p>
    <w:p w:rsidR="00E179F9" w:rsidRDefault="00E179F9" w:rsidP="00623F3C">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23. </w:t>
      </w:r>
      <w:r>
        <w:rPr>
          <w:rFonts w:ascii="Times New Roman CYR" w:hAnsi="Times New Roman CYR" w:cs="Times New Roman CYR"/>
          <w:b/>
          <w:bCs/>
          <w:color w:val="000000"/>
          <w:sz w:val="28"/>
          <w:szCs w:val="28"/>
        </w:rPr>
        <w:t>Доля населения, систематически занимающегося физической культурой и спортом</w:t>
      </w:r>
    </w:p>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Доля населения, систематически </w:t>
      </w:r>
      <w:proofErr w:type="gramStart"/>
      <w:r>
        <w:rPr>
          <w:rFonts w:ascii="Times New Roman CYR" w:hAnsi="Times New Roman CYR" w:cs="Times New Roman CYR"/>
          <w:sz w:val="28"/>
          <w:szCs w:val="28"/>
        </w:rPr>
        <w:t>занимающихся</w:t>
      </w:r>
      <w:proofErr w:type="gramEnd"/>
      <w:r>
        <w:rPr>
          <w:rFonts w:ascii="Times New Roman CYR" w:hAnsi="Times New Roman CYR" w:cs="Times New Roman CYR"/>
          <w:sz w:val="28"/>
          <w:szCs w:val="28"/>
        </w:rPr>
        <w:t xml:space="preserve"> физической культурой и спортом за 2016 год, в общей численности населения,  составила 27,68%. К 2019 году ожидается увеличение данного показателя  до  33,9 %. </w:t>
      </w:r>
    </w:p>
    <w:p w:rsidR="00E179F9" w:rsidRDefault="00E179F9" w:rsidP="00623F3C">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23.1. </w:t>
      </w:r>
      <w:r>
        <w:rPr>
          <w:rFonts w:ascii="Times New Roman CYR" w:hAnsi="Times New Roman CYR" w:cs="Times New Roman CYR"/>
          <w:b/>
          <w:bCs/>
          <w:color w:val="000000"/>
          <w:sz w:val="28"/>
          <w:szCs w:val="28"/>
        </w:rPr>
        <w:t xml:space="preserve">Доля </w:t>
      </w:r>
      <w:proofErr w:type="gramStart"/>
      <w:r>
        <w:rPr>
          <w:rFonts w:ascii="Times New Roman CYR" w:hAnsi="Times New Roman CYR" w:cs="Times New Roman CYR"/>
          <w:b/>
          <w:bCs/>
          <w:color w:val="000000"/>
          <w:sz w:val="28"/>
          <w:szCs w:val="28"/>
        </w:rPr>
        <w:t>обучающихся</w:t>
      </w:r>
      <w:proofErr w:type="gramEnd"/>
      <w:r>
        <w:rPr>
          <w:rFonts w:ascii="Times New Roman CYR" w:hAnsi="Times New Roman CYR" w:cs="Times New Roman CYR"/>
          <w:b/>
          <w:bCs/>
          <w:color w:val="000000"/>
          <w:sz w:val="28"/>
          <w:szCs w:val="28"/>
        </w:rPr>
        <w:t>, систематически занимающихся физической культурой и спортом, в общей численности обучающихся</w:t>
      </w: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Доля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систематически занимающихся физической культурой и спортом, в общей численности обучающихся составила в 2016 году  40,25%.</w:t>
      </w: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Снижение показателя по сравнению с 2016 годом составило 18%. Это связано с тем, что  в 2015 году произошло резкое увеличение данного показателя за счет учета детей дошкольного возраста, посещающих детские сады. </w:t>
      </w:r>
      <w:proofErr w:type="gramStart"/>
      <w:r>
        <w:rPr>
          <w:rFonts w:ascii="Times New Roman CYR" w:hAnsi="Times New Roman CYR" w:cs="Times New Roman CYR"/>
          <w:sz w:val="28"/>
          <w:szCs w:val="28"/>
        </w:rPr>
        <w:t xml:space="preserve">В 2016 году, в соответствии с рекомендациями министерства спорта Красноярского </w:t>
      </w:r>
      <w:r>
        <w:rPr>
          <w:rFonts w:ascii="Times New Roman CYR" w:hAnsi="Times New Roman CYR" w:cs="Times New Roman CYR"/>
          <w:sz w:val="28"/>
          <w:szCs w:val="28"/>
        </w:rPr>
        <w:lastRenderedPageBreak/>
        <w:t>края, было проведено уточнение, согласно которому дети дошкольного возраста (кроме посещающих спортивные учреждения и спортивные клубы по месту жительства), в отчетных формах не учитываются.</w:t>
      </w:r>
      <w:proofErr w:type="gramEnd"/>
      <w:r>
        <w:rPr>
          <w:rFonts w:ascii="Times New Roman CYR" w:hAnsi="Times New Roman CYR" w:cs="Times New Roman CYR"/>
          <w:sz w:val="28"/>
          <w:szCs w:val="28"/>
        </w:rPr>
        <w:t xml:space="preserve"> Прогноз до 2019 года по данному показателю составлен с учетом этих рекомендаций. </w:t>
      </w: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К 2019 году планируемый показатель составит 40,45%.</w:t>
      </w:r>
    </w:p>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179F9" w:rsidRDefault="00E179F9">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VI. </w:t>
      </w:r>
      <w:r>
        <w:rPr>
          <w:rFonts w:ascii="Times New Roman CYR" w:hAnsi="Times New Roman CYR" w:cs="Times New Roman CYR"/>
          <w:b/>
          <w:bCs/>
          <w:color w:val="000000"/>
          <w:sz w:val="28"/>
          <w:szCs w:val="28"/>
        </w:rPr>
        <w:t>Жилищное строительство и обеспечение граждан жильем</w:t>
      </w:r>
    </w:p>
    <w:p w:rsidR="00E179F9" w:rsidRDefault="00E179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4"/>
          <w:szCs w:val="24"/>
        </w:rPr>
        <w:tab/>
      </w:r>
      <w:r>
        <w:rPr>
          <w:rFonts w:ascii="Times New Roman CYR" w:hAnsi="Times New Roman CYR" w:cs="Times New Roman CYR"/>
          <w:sz w:val="28"/>
          <w:szCs w:val="28"/>
        </w:rPr>
        <w:t>За отчетный период введено в эксплуатацию 22 жилых домов, общей площадью 1818 кв</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 xml:space="preserve"> (к 2015 году 77,2%), в том числе 20 индивидуальных жилых домов, построенных населением. Введено два 2-х квартирных дома в п. Каштан на переселение граждан из ветхого и аварийного жилищного фонда по государственной программе Красноярского края «Создание условий для обеспечения достойного и комфортного жилья граждан Красноярского края на 2014-2017 годы».</w:t>
      </w:r>
    </w:p>
    <w:p w:rsidR="00E179F9" w:rsidRDefault="00E179F9">
      <w:pPr>
        <w:widowControl w:val="0"/>
        <w:autoSpaceDE w:val="0"/>
        <w:autoSpaceDN w:val="0"/>
        <w:adjustRightInd w:val="0"/>
        <w:spacing w:after="0" w:line="240" w:lineRule="auto"/>
        <w:rPr>
          <w:rFonts w:ascii="Arial" w:hAnsi="Arial" w:cs="Arial"/>
          <w:sz w:val="16"/>
          <w:szCs w:val="16"/>
        </w:rPr>
      </w:pPr>
    </w:p>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179F9" w:rsidRDefault="00E179F9">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24. </w:t>
      </w:r>
      <w:r>
        <w:rPr>
          <w:rFonts w:ascii="Times New Roman CYR" w:hAnsi="Times New Roman CYR" w:cs="Times New Roman CYR"/>
          <w:b/>
          <w:bCs/>
          <w:color w:val="000000"/>
          <w:sz w:val="28"/>
          <w:szCs w:val="28"/>
        </w:rPr>
        <w:t>Общая площадь жилых помещений, приходящаяся в среднем на одного жителя всего, в том числе введенная в действие за один год</w:t>
      </w:r>
    </w:p>
    <w:p w:rsidR="00623F3C" w:rsidRDefault="00E179F9" w:rsidP="00623F3C">
      <w:pPr>
        <w:autoSpaceDE w:val="0"/>
        <w:autoSpaceDN w:val="0"/>
        <w:adjustRightInd w:val="0"/>
        <w:spacing w:line="240" w:lineRule="auto"/>
        <w:contextualSpacing/>
        <w:jc w:val="both"/>
        <w:rPr>
          <w:rFonts w:ascii="Times New Roman CYR" w:hAnsi="Times New Roman CYR" w:cs="Times New Roman CYR"/>
          <w:sz w:val="28"/>
          <w:szCs w:val="28"/>
        </w:rPr>
      </w:pPr>
      <w:r>
        <w:rPr>
          <w:rFonts w:ascii="Times New Roman CYR" w:hAnsi="Times New Roman CYR" w:cs="Times New Roman CYR"/>
          <w:sz w:val="24"/>
          <w:szCs w:val="24"/>
        </w:rPr>
        <w:tab/>
      </w:r>
      <w:r>
        <w:rPr>
          <w:rFonts w:ascii="Times New Roman CYR" w:hAnsi="Times New Roman CYR" w:cs="Times New Roman CYR"/>
          <w:sz w:val="28"/>
          <w:szCs w:val="28"/>
        </w:rPr>
        <w:t xml:space="preserve">Общая площадь жилых помещений на территории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на 31.12.2016 года составляет 191,2 тыс.кв.м. В среднем на одного жителя района приходится 19,0 кв</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етров жилых помещений, что на 0,3 кв.м. больше 2015 года.</w:t>
      </w:r>
    </w:p>
    <w:p w:rsidR="00E179F9" w:rsidRDefault="00E179F9" w:rsidP="00623F3C">
      <w:pPr>
        <w:autoSpaceDE w:val="0"/>
        <w:autoSpaceDN w:val="0"/>
        <w:adjustRightInd w:val="0"/>
        <w:spacing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Ежегодный ввод жилых помещений в 2016-2019 г. г. составляет около 1,3 тыс.кв</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етров.</w:t>
      </w:r>
    </w:p>
    <w:p w:rsidR="00E179F9" w:rsidRDefault="00E179F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связи с вводом в эксплуатацию новых жилых помещений и сокращением численности населения к  2019 году данный показатель составит 20,2 кв.м. жилья на одного жителя.</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361"/>
        <w:gridCol w:w="1450"/>
        <w:gridCol w:w="1265"/>
        <w:gridCol w:w="992"/>
        <w:gridCol w:w="851"/>
        <w:gridCol w:w="957"/>
      </w:tblGrid>
      <w:tr w:rsidR="00E179F9">
        <w:tc>
          <w:tcPr>
            <w:tcW w:w="9876" w:type="dxa"/>
            <w:gridSpan w:val="6"/>
            <w:tcBorders>
              <w:top w:val="single" w:sz="4" w:space="0" w:color="auto"/>
              <w:bottom w:val="single" w:sz="4" w:space="0" w:color="auto"/>
            </w:tcBorders>
          </w:tcPr>
          <w:p w:rsidR="00E179F9" w:rsidRDefault="00E179F9">
            <w:pPr>
              <w:autoSpaceDE w:val="0"/>
              <w:autoSpaceDN w:val="0"/>
              <w:adjustRightInd w:val="0"/>
              <w:jc w:val="center"/>
              <w:rPr>
                <w:rFonts w:ascii="Calibri" w:hAnsi="Calibri" w:cs="Calibri"/>
                <w:sz w:val="28"/>
                <w:szCs w:val="28"/>
              </w:rPr>
            </w:pPr>
            <w:r>
              <w:rPr>
                <w:rFonts w:ascii="Calibri" w:hAnsi="Calibri" w:cs="Calibri"/>
                <w:sz w:val="28"/>
                <w:szCs w:val="28"/>
              </w:rPr>
              <w:t>Ввод жилья, кв. метров</w:t>
            </w:r>
          </w:p>
        </w:tc>
      </w:tr>
      <w:tr w:rsidR="00E179F9">
        <w:tc>
          <w:tcPr>
            <w:tcW w:w="4361" w:type="dxa"/>
            <w:tcBorders>
              <w:top w:val="single" w:sz="4" w:space="0" w:color="auto"/>
              <w:bottom w:val="single" w:sz="4" w:space="0" w:color="auto"/>
              <w:right w:val="single" w:sz="4" w:space="0" w:color="auto"/>
            </w:tcBorders>
          </w:tcPr>
          <w:p w:rsidR="00E179F9" w:rsidRDefault="00E179F9">
            <w:pPr>
              <w:autoSpaceDE w:val="0"/>
              <w:autoSpaceDN w:val="0"/>
              <w:adjustRightInd w:val="0"/>
              <w:rPr>
                <w:rFonts w:ascii="Calibri" w:hAnsi="Calibri" w:cs="Calibri"/>
                <w:sz w:val="28"/>
                <w:szCs w:val="28"/>
              </w:rPr>
            </w:pPr>
          </w:p>
        </w:tc>
        <w:tc>
          <w:tcPr>
            <w:tcW w:w="1450"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center"/>
              <w:rPr>
                <w:rFonts w:ascii="Calibri" w:hAnsi="Calibri" w:cs="Calibri"/>
                <w:sz w:val="28"/>
                <w:szCs w:val="28"/>
              </w:rPr>
            </w:pPr>
            <w:r>
              <w:rPr>
                <w:rFonts w:ascii="Calibri" w:hAnsi="Calibri" w:cs="Calibri"/>
                <w:sz w:val="28"/>
                <w:szCs w:val="28"/>
              </w:rPr>
              <w:t>предыдущий период</w:t>
            </w:r>
          </w:p>
        </w:tc>
        <w:tc>
          <w:tcPr>
            <w:tcW w:w="1265"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center"/>
              <w:rPr>
                <w:rFonts w:ascii="Calibri" w:hAnsi="Calibri" w:cs="Calibri"/>
                <w:sz w:val="28"/>
                <w:szCs w:val="28"/>
              </w:rPr>
            </w:pPr>
            <w:r>
              <w:rPr>
                <w:rFonts w:ascii="Calibri" w:hAnsi="Calibri" w:cs="Calibri"/>
                <w:sz w:val="28"/>
                <w:szCs w:val="28"/>
              </w:rPr>
              <w:t>отчетный период</w:t>
            </w:r>
          </w:p>
        </w:tc>
        <w:tc>
          <w:tcPr>
            <w:tcW w:w="2800" w:type="dxa"/>
            <w:gridSpan w:val="3"/>
            <w:tcBorders>
              <w:top w:val="single" w:sz="4" w:space="0" w:color="auto"/>
              <w:left w:val="single" w:sz="4" w:space="0" w:color="auto"/>
              <w:bottom w:val="single" w:sz="4" w:space="0" w:color="auto"/>
            </w:tcBorders>
          </w:tcPr>
          <w:p w:rsidR="00E179F9" w:rsidRDefault="00E179F9">
            <w:pPr>
              <w:autoSpaceDE w:val="0"/>
              <w:autoSpaceDN w:val="0"/>
              <w:adjustRightInd w:val="0"/>
              <w:jc w:val="center"/>
              <w:rPr>
                <w:rFonts w:ascii="Calibri" w:hAnsi="Calibri" w:cs="Calibri"/>
                <w:sz w:val="28"/>
                <w:szCs w:val="28"/>
              </w:rPr>
            </w:pPr>
            <w:r>
              <w:rPr>
                <w:rFonts w:ascii="Calibri" w:hAnsi="Calibri" w:cs="Calibri"/>
                <w:sz w:val="28"/>
                <w:szCs w:val="28"/>
              </w:rPr>
              <w:t>прогноз</w:t>
            </w:r>
          </w:p>
        </w:tc>
      </w:tr>
      <w:tr w:rsidR="00E179F9">
        <w:tc>
          <w:tcPr>
            <w:tcW w:w="4361" w:type="dxa"/>
            <w:tcBorders>
              <w:top w:val="single" w:sz="4" w:space="0" w:color="auto"/>
              <w:bottom w:val="single" w:sz="4" w:space="0" w:color="auto"/>
              <w:right w:val="single" w:sz="4" w:space="0" w:color="auto"/>
            </w:tcBorders>
          </w:tcPr>
          <w:p w:rsidR="00E179F9" w:rsidRDefault="00E179F9">
            <w:pPr>
              <w:autoSpaceDE w:val="0"/>
              <w:autoSpaceDN w:val="0"/>
              <w:adjustRightInd w:val="0"/>
              <w:rPr>
                <w:rFonts w:ascii="Calibri" w:hAnsi="Calibri" w:cs="Calibri"/>
                <w:sz w:val="28"/>
                <w:szCs w:val="28"/>
              </w:rPr>
            </w:pPr>
          </w:p>
        </w:tc>
        <w:tc>
          <w:tcPr>
            <w:tcW w:w="1450"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center"/>
              <w:rPr>
                <w:rFonts w:ascii="Calibri" w:hAnsi="Calibri" w:cs="Calibri"/>
                <w:sz w:val="28"/>
                <w:szCs w:val="28"/>
              </w:rPr>
            </w:pPr>
            <w:r>
              <w:rPr>
                <w:rFonts w:ascii="Calibri" w:hAnsi="Calibri" w:cs="Calibri"/>
                <w:sz w:val="28"/>
                <w:szCs w:val="28"/>
              </w:rPr>
              <w:t>2015</w:t>
            </w:r>
          </w:p>
        </w:tc>
        <w:tc>
          <w:tcPr>
            <w:tcW w:w="1265"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center"/>
              <w:rPr>
                <w:rFonts w:ascii="Calibri" w:hAnsi="Calibri" w:cs="Calibri"/>
                <w:sz w:val="28"/>
                <w:szCs w:val="28"/>
              </w:rPr>
            </w:pPr>
            <w:r>
              <w:rPr>
                <w:rFonts w:ascii="Calibri" w:hAnsi="Calibri" w:cs="Calibri"/>
                <w:sz w:val="28"/>
                <w:szCs w:val="28"/>
              </w:rPr>
              <w:t>2016</w:t>
            </w:r>
          </w:p>
        </w:tc>
        <w:tc>
          <w:tcPr>
            <w:tcW w:w="992"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center"/>
              <w:rPr>
                <w:rFonts w:ascii="Calibri" w:hAnsi="Calibri" w:cs="Calibri"/>
                <w:sz w:val="28"/>
                <w:szCs w:val="28"/>
              </w:rPr>
            </w:pPr>
            <w:r>
              <w:rPr>
                <w:rFonts w:ascii="Calibri" w:hAnsi="Calibri" w:cs="Calibri"/>
                <w:sz w:val="28"/>
                <w:szCs w:val="28"/>
              </w:rPr>
              <w:t>2017</w:t>
            </w:r>
          </w:p>
        </w:tc>
        <w:tc>
          <w:tcPr>
            <w:tcW w:w="851"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center"/>
              <w:rPr>
                <w:rFonts w:ascii="Calibri" w:hAnsi="Calibri" w:cs="Calibri"/>
                <w:sz w:val="28"/>
                <w:szCs w:val="28"/>
              </w:rPr>
            </w:pPr>
            <w:r>
              <w:rPr>
                <w:rFonts w:ascii="Calibri" w:hAnsi="Calibri" w:cs="Calibri"/>
                <w:sz w:val="28"/>
                <w:szCs w:val="28"/>
              </w:rPr>
              <w:t>2018</w:t>
            </w:r>
          </w:p>
        </w:tc>
        <w:tc>
          <w:tcPr>
            <w:tcW w:w="957" w:type="dxa"/>
            <w:tcBorders>
              <w:top w:val="single" w:sz="4" w:space="0" w:color="auto"/>
              <w:left w:val="single" w:sz="4" w:space="0" w:color="auto"/>
              <w:bottom w:val="single" w:sz="4" w:space="0" w:color="auto"/>
            </w:tcBorders>
          </w:tcPr>
          <w:p w:rsidR="00E179F9" w:rsidRDefault="00E179F9">
            <w:pPr>
              <w:autoSpaceDE w:val="0"/>
              <w:autoSpaceDN w:val="0"/>
              <w:adjustRightInd w:val="0"/>
              <w:jc w:val="center"/>
              <w:rPr>
                <w:rFonts w:ascii="Calibri" w:hAnsi="Calibri" w:cs="Calibri"/>
                <w:sz w:val="28"/>
                <w:szCs w:val="28"/>
              </w:rPr>
            </w:pPr>
            <w:r>
              <w:rPr>
                <w:rFonts w:ascii="Calibri" w:hAnsi="Calibri" w:cs="Calibri"/>
                <w:sz w:val="28"/>
                <w:szCs w:val="28"/>
              </w:rPr>
              <w:t>2019</w:t>
            </w:r>
          </w:p>
        </w:tc>
      </w:tr>
      <w:tr w:rsidR="00E179F9">
        <w:tc>
          <w:tcPr>
            <w:tcW w:w="4361" w:type="dxa"/>
            <w:tcBorders>
              <w:top w:val="single" w:sz="4" w:space="0" w:color="auto"/>
              <w:bottom w:val="single" w:sz="4" w:space="0" w:color="auto"/>
              <w:right w:val="single" w:sz="4" w:space="0" w:color="auto"/>
            </w:tcBorders>
          </w:tcPr>
          <w:p w:rsidR="00E179F9" w:rsidRDefault="00E179F9">
            <w:pPr>
              <w:autoSpaceDE w:val="0"/>
              <w:autoSpaceDN w:val="0"/>
              <w:adjustRightInd w:val="0"/>
              <w:rPr>
                <w:rFonts w:ascii="Calibri" w:hAnsi="Calibri" w:cs="Calibri"/>
                <w:sz w:val="28"/>
                <w:szCs w:val="28"/>
              </w:rPr>
            </w:pPr>
            <w:r>
              <w:rPr>
                <w:rFonts w:ascii="Calibri" w:hAnsi="Calibri" w:cs="Calibri"/>
                <w:sz w:val="28"/>
                <w:szCs w:val="28"/>
              </w:rPr>
              <w:t>Введено всего,</w:t>
            </w:r>
          </w:p>
          <w:p w:rsidR="00E179F9" w:rsidRDefault="00E179F9">
            <w:pPr>
              <w:autoSpaceDE w:val="0"/>
              <w:autoSpaceDN w:val="0"/>
              <w:adjustRightInd w:val="0"/>
              <w:ind w:left="284"/>
              <w:rPr>
                <w:rFonts w:ascii="Calibri" w:hAnsi="Calibri" w:cs="Calibri"/>
                <w:sz w:val="28"/>
                <w:szCs w:val="28"/>
              </w:rPr>
            </w:pPr>
            <w:r>
              <w:rPr>
                <w:rFonts w:ascii="Calibri" w:hAnsi="Calibri" w:cs="Calibri"/>
                <w:sz w:val="28"/>
                <w:szCs w:val="28"/>
              </w:rPr>
              <w:t>в том числе</w:t>
            </w:r>
          </w:p>
        </w:tc>
        <w:tc>
          <w:tcPr>
            <w:tcW w:w="1450"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center"/>
              <w:rPr>
                <w:rFonts w:ascii="Calibri" w:hAnsi="Calibri" w:cs="Calibri"/>
                <w:sz w:val="28"/>
                <w:szCs w:val="28"/>
              </w:rPr>
            </w:pPr>
            <w:r>
              <w:rPr>
                <w:rFonts w:ascii="Calibri" w:hAnsi="Calibri" w:cs="Calibri"/>
                <w:sz w:val="28"/>
                <w:szCs w:val="28"/>
              </w:rPr>
              <w:t>2355</w:t>
            </w:r>
          </w:p>
        </w:tc>
        <w:tc>
          <w:tcPr>
            <w:tcW w:w="1265"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center"/>
              <w:rPr>
                <w:rFonts w:ascii="Calibri" w:hAnsi="Calibri" w:cs="Calibri"/>
                <w:sz w:val="28"/>
                <w:szCs w:val="28"/>
              </w:rPr>
            </w:pPr>
            <w:r>
              <w:rPr>
                <w:rFonts w:ascii="Calibri" w:hAnsi="Calibri" w:cs="Calibri"/>
                <w:sz w:val="28"/>
                <w:szCs w:val="28"/>
              </w:rPr>
              <w:t>1818</w:t>
            </w:r>
          </w:p>
        </w:tc>
        <w:tc>
          <w:tcPr>
            <w:tcW w:w="992"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center"/>
              <w:rPr>
                <w:rFonts w:ascii="Calibri" w:hAnsi="Calibri" w:cs="Calibri"/>
                <w:sz w:val="28"/>
                <w:szCs w:val="28"/>
              </w:rPr>
            </w:pPr>
            <w:r>
              <w:rPr>
                <w:rFonts w:ascii="Calibri" w:hAnsi="Calibri" w:cs="Calibri"/>
                <w:sz w:val="28"/>
                <w:szCs w:val="28"/>
              </w:rPr>
              <w:t>1300</w:t>
            </w:r>
          </w:p>
        </w:tc>
        <w:tc>
          <w:tcPr>
            <w:tcW w:w="851"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center"/>
              <w:rPr>
                <w:rFonts w:ascii="Calibri" w:hAnsi="Calibri" w:cs="Calibri"/>
                <w:sz w:val="28"/>
                <w:szCs w:val="28"/>
              </w:rPr>
            </w:pPr>
            <w:r>
              <w:rPr>
                <w:rFonts w:ascii="Calibri" w:hAnsi="Calibri" w:cs="Calibri"/>
                <w:sz w:val="28"/>
                <w:szCs w:val="28"/>
              </w:rPr>
              <w:t>1300</w:t>
            </w:r>
          </w:p>
        </w:tc>
        <w:tc>
          <w:tcPr>
            <w:tcW w:w="957" w:type="dxa"/>
            <w:tcBorders>
              <w:top w:val="single" w:sz="4" w:space="0" w:color="auto"/>
              <w:left w:val="single" w:sz="4" w:space="0" w:color="auto"/>
              <w:bottom w:val="single" w:sz="4" w:space="0" w:color="auto"/>
            </w:tcBorders>
          </w:tcPr>
          <w:p w:rsidR="00E179F9" w:rsidRDefault="00E179F9">
            <w:pPr>
              <w:autoSpaceDE w:val="0"/>
              <w:autoSpaceDN w:val="0"/>
              <w:adjustRightInd w:val="0"/>
              <w:jc w:val="center"/>
              <w:rPr>
                <w:rFonts w:ascii="Calibri" w:hAnsi="Calibri" w:cs="Calibri"/>
                <w:sz w:val="28"/>
                <w:szCs w:val="28"/>
              </w:rPr>
            </w:pPr>
            <w:r>
              <w:rPr>
                <w:rFonts w:ascii="Calibri" w:hAnsi="Calibri" w:cs="Calibri"/>
                <w:sz w:val="28"/>
                <w:szCs w:val="28"/>
              </w:rPr>
              <w:t>1300</w:t>
            </w:r>
          </w:p>
        </w:tc>
      </w:tr>
      <w:tr w:rsidR="00E179F9">
        <w:tc>
          <w:tcPr>
            <w:tcW w:w="4361" w:type="dxa"/>
            <w:tcBorders>
              <w:top w:val="single" w:sz="4" w:space="0" w:color="auto"/>
              <w:bottom w:val="single" w:sz="4" w:space="0" w:color="auto"/>
              <w:right w:val="single" w:sz="4" w:space="0" w:color="auto"/>
            </w:tcBorders>
          </w:tcPr>
          <w:p w:rsidR="00E179F9" w:rsidRDefault="00E179F9">
            <w:pPr>
              <w:autoSpaceDE w:val="0"/>
              <w:autoSpaceDN w:val="0"/>
              <w:adjustRightInd w:val="0"/>
              <w:ind w:left="284"/>
              <w:rPr>
                <w:rFonts w:ascii="Calibri" w:hAnsi="Calibri" w:cs="Calibri"/>
                <w:sz w:val="28"/>
                <w:szCs w:val="28"/>
              </w:rPr>
            </w:pPr>
            <w:r>
              <w:rPr>
                <w:rFonts w:ascii="Calibri" w:hAnsi="Calibri" w:cs="Calibri"/>
                <w:sz w:val="28"/>
                <w:szCs w:val="28"/>
              </w:rPr>
              <w:t xml:space="preserve">индивидуальное жилищное </w:t>
            </w:r>
            <w:r>
              <w:rPr>
                <w:rFonts w:ascii="Calibri" w:hAnsi="Calibri" w:cs="Calibri"/>
                <w:sz w:val="28"/>
                <w:szCs w:val="28"/>
              </w:rPr>
              <w:lastRenderedPageBreak/>
              <w:t>строительство</w:t>
            </w:r>
          </w:p>
        </w:tc>
        <w:tc>
          <w:tcPr>
            <w:tcW w:w="1450"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Calibri" w:hAnsi="Calibri" w:cs="Calibri"/>
                <w:sz w:val="28"/>
                <w:szCs w:val="28"/>
              </w:rPr>
            </w:pPr>
            <w:r>
              <w:rPr>
                <w:rFonts w:ascii="Calibri" w:hAnsi="Calibri" w:cs="Calibri"/>
                <w:sz w:val="28"/>
                <w:szCs w:val="28"/>
              </w:rPr>
              <w:lastRenderedPageBreak/>
              <w:t>2123</w:t>
            </w:r>
          </w:p>
        </w:tc>
        <w:tc>
          <w:tcPr>
            <w:tcW w:w="1265"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Calibri" w:hAnsi="Calibri" w:cs="Calibri"/>
                <w:sz w:val="28"/>
                <w:szCs w:val="28"/>
              </w:rPr>
            </w:pPr>
            <w:r>
              <w:rPr>
                <w:rFonts w:ascii="Calibri" w:hAnsi="Calibri" w:cs="Calibri"/>
                <w:sz w:val="28"/>
                <w:szCs w:val="28"/>
              </w:rPr>
              <w:t>1587</w:t>
            </w:r>
          </w:p>
        </w:tc>
        <w:tc>
          <w:tcPr>
            <w:tcW w:w="992"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Calibri" w:hAnsi="Calibri" w:cs="Calibri"/>
                <w:sz w:val="28"/>
                <w:szCs w:val="28"/>
              </w:rPr>
            </w:pPr>
            <w:r>
              <w:rPr>
                <w:rFonts w:ascii="Calibri" w:hAnsi="Calibri" w:cs="Calibri"/>
                <w:sz w:val="28"/>
                <w:szCs w:val="28"/>
              </w:rPr>
              <w:t>1300</w:t>
            </w:r>
          </w:p>
        </w:tc>
        <w:tc>
          <w:tcPr>
            <w:tcW w:w="851"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Calibri" w:hAnsi="Calibri" w:cs="Calibri"/>
                <w:sz w:val="28"/>
                <w:szCs w:val="28"/>
              </w:rPr>
            </w:pPr>
            <w:r>
              <w:rPr>
                <w:rFonts w:ascii="Calibri" w:hAnsi="Calibri" w:cs="Calibri"/>
                <w:sz w:val="28"/>
                <w:szCs w:val="28"/>
              </w:rPr>
              <w:t>1300</w:t>
            </w:r>
          </w:p>
        </w:tc>
        <w:tc>
          <w:tcPr>
            <w:tcW w:w="957" w:type="dxa"/>
            <w:tcBorders>
              <w:top w:val="single" w:sz="4" w:space="0" w:color="auto"/>
              <w:left w:val="single" w:sz="4" w:space="0" w:color="auto"/>
              <w:bottom w:val="single" w:sz="4" w:space="0" w:color="auto"/>
            </w:tcBorders>
          </w:tcPr>
          <w:p w:rsidR="00E179F9" w:rsidRDefault="00E179F9">
            <w:pPr>
              <w:autoSpaceDE w:val="0"/>
              <w:autoSpaceDN w:val="0"/>
              <w:adjustRightInd w:val="0"/>
              <w:jc w:val="both"/>
              <w:rPr>
                <w:rFonts w:ascii="Calibri" w:hAnsi="Calibri" w:cs="Calibri"/>
                <w:sz w:val="28"/>
                <w:szCs w:val="28"/>
              </w:rPr>
            </w:pPr>
            <w:r>
              <w:rPr>
                <w:rFonts w:ascii="Calibri" w:hAnsi="Calibri" w:cs="Calibri"/>
                <w:sz w:val="28"/>
                <w:szCs w:val="28"/>
              </w:rPr>
              <w:t>1300</w:t>
            </w:r>
          </w:p>
        </w:tc>
      </w:tr>
      <w:tr w:rsidR="00E179F9">
        <w:tc>
          <w:tcPr>
            <w:tcW w:w="4361" w:type="dxa"/>
            <w:tcBorders>
              <w:top w:val="single" w:sz="4" w:space="0" w:color="auto"/>
              <w:bottom w:val="single" w:sz="4" w:space="0" w:color="auto"/>
              <w:right w:val="single" w:sz="4" w:space="0" w:color="auto"/>
            </w:tcBorders>
          </w:tcPr>
          <w:p w:rsidR="00E179F9" w:rsidRDefault="00E179F9">
            <w:pPr>
              <w:autoSpaceDE w:val="0"/>
              <w:autoSpaceDN w:val="0"/>
              <w:adjustRightInd w:val="0"/>
              <w:ind w:left="284"/>
              <w:rPr>
                <w:rFonts w:ascii="Calibri" w:hAnsi="Calibri" w:cs="Calibri"/>
                <w:sz w:val="28"/>
                <w:szCs w:val="28"/>
              </w:rPr>
            </w:pPr>
            <w:r>
              <w:rPr>
                <w:rFonts w:ascii="Calibri" w:hAnsi="Calibri" w:cs="Calibri"/>
                <w:sz w:val="28"/>
                <w:szCs w:val="28"/>
              </w:rPr>
              <w:lastRenderedPageBreak/>
              <w:t>многоквартирное строительство</w:t>
            </w:r>
          </w:p>
        </w:tc>
        <w:tc>
          <w:tcPr>
            <w:tcW w:w="1450"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Calibri" w:hAnsi="Calibri" w:cs="Calibri"/>
                <w:sz w:val="28"/>
                <w:szCs w:val="28"/>
              </w:rPr>
            </w:pPr>
            <w:r>
              <w:rPr>
                <w:rFonts w:ascii="Calibri" w:hAnsi="Calibri" w:cs="Calibri"/>
                <w:sz w:val="28"/>
                <w:szCs w:val="28"/>
              </w:rPr>
              <w:t>232</w:t>
            </w:r>
          </w:p>
        </w:tc>
        <w:tc>
          <w:tcPr>
            <w:tcW w:w="1265"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Calibri" w:hAnsi="Calibri" w:cs="Calibri"/>
                <w:sz w:val="28"/>
                <w:szCs w:val="28"/>
              </w:rPr>
            </w:pPr>
            <w:r>
              <w:rPr>
                <w:rFonts w:ascii="Calibri" w:hAnsi="Calibri" w:cs="Calibri"/>
                <w:sz w:val="28"/>
                <w:szCs w:val="28"/>
              </w:rPr>
              <w:t>232</w:t>
            </w:r>
          </w:p>
        </w:tc>
        <w:tc>
          <w:tcPr>
            <w:tcW w:w="992"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Calibri" w:hAnsi="Calibri" w:cs="Calibri"/>
                <w:sz w:val="28"/>
                <w:szCs w:val="28"/>
              </w:rPr>
            </w:pPr>
            <w:r>
              <w:rPr>
                <w:rFonts w:ascii="Calibri" w:hAnsi="Calibri" w:cs="Calibri"/>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Calibri" w:hAnsi="Calibri" w:cs="Calibri"/>
                <w:sz w:val="28"/>
                <w:szCs w:val="28"/>
              </w:rPr>
            </w:pPr>
            <w:r>
              <w:rPr>
                <w:rFonts w:ascii="Calibri" w:hAnsi="Calibri" w:cs="Calibri"/>
                <w:sz w:val="28"/>
                <w:szCs w:val="28"/>
              </w:rPr>
              <w:t>0</w:t>
            </w:r>
          </w:p>
        </w:tc>
        <w:tc>
          <w:tcPr>
            <w:tcW w:w="957" w:type="dxa"/>
            <w:tcBorders>
              <w:top w:val="single" w:sz="4" w:space="0" w:color="auto"/>
              <w:left w:val="single" w:sz="4" w:space="0" w:color="auto"/>
              <w:bottom w:val="single" w:sz="4" w:space="0" w:color="auto"/>
            </w:tcBorders>
          </w:tcPr>
          <w:p w:rsidR="00E179F9" w:rsidRDefault="00E179F9">
            <w:pPr>
              <w:autoSpaceDE w:val="0"/>
              <w:autoSpaceDN w:val="0"/>
              <w:adjustRightInd w:val="0"/>
              <w:jc w:val="both"/>
              <w:rPr>
                <w:rFonts w:ascii="Calibri" w:hAnsi="Calibri" w:cs="Calibri"/>
                <w:sz w:val="28"/>
                <w:szCs w:val="28"/>
              </w:rPr>
            </w:pPr>
            <w:r>
              <w:rPr>
                <w:rFonts w:ascii="Calibri" w:hAnsi="Calibri" w:cs="Calibri"/>
                <w:sz w:val="28"/>
                <w:szCs w:val="28"/>
              </w:rPr>
              <w:t>0</w:t>
            </w:r>
          </w:p>
        </w:tc>
      </w:tr>
    </w:tbl>
    <w:p w:rsidR="00E179F9" w:rsidRDefault="00E179F9">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24.1. в том числе </w:t>
      </w:r>
      <w:proofErr w:type="gramStart"/>
      <w:r>
        <w:rPr>
          <w:rFonts w:ascii="Times New Roman CYR" w:hAnsi="Times New Roman CYR" w:cs="Times New Roman CYR"/>
          <w:b/>
          <w:bCs/>
          <w:sz w:val="28"/>
          <w:szCs w:val="28"/>
        </w:rPr>
        <w:t>введенная</w:t>
      </w:r>
      <w:proofErr w:type="gramEnd"/>
      <w:r>
        <w:rPr>
          <w:rFonts w:ascii="Times New Roman CYR" w:hAnsi="Times New Roman CYR" w:cs="Times New Roman CYR"/>
          <w:b/>
          <w:bCs/>
          <w:sz w:val="28"/>
          <w:szCs w:val="28"/>
        </w:rPr>
        <w:t xml:space="preserve"> в действие за один год</w:t>
      </w:r>
    </w:p>
    <w:p w:rsidR="00E179F9" w:rsidRDefault="00E179F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За отчетный период введено в эксплуатацию 1818 кв.м. в т.ч.  ИЖС – 20 жилых домов  общей площадью 1587 кв.м.  и  два двухквартирных дома  общей площадью 232 кв</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 xml:space="preserve">  (региональная адресная  программа по переселению граждан из  аварийного жилищного фонда). На одного жителя приходится 0,18 кв.м. введенного за год жилья.</w:t>
      </w:r>
    </w:p>
    <w:p w:rsidR="00527870" w:rsidRDefault="00527870" w:rsidP="00527870">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Примечание: </w:t>
      </w:r>
      <w:r>
        <w:rPr>
          <w:rFonts w:ascii="Times New Roman CYR" w:hAnsi="Times New Roman CYR" w:cs="Times New Roman CYR"/>
          <w:color w:val="000000"/>
          <w:sz w:val="28"/>
          <w:szCs w:val="28"/>
          <w:highlight w:val="white"/>
        </w:rPr>
        <w:t xml:space="preserve">Данные по 20 введенным домам общей площадью ИЖС 1587 кв.м. согласованы с </w:t>
      </w:r>
      <w:proofErr w:type="spellStart"/>
      <w:r>
        <w:rPr>
          <w:rFonts w:ascii="Times New Roman CYR" w:hAnsi="Times New Roman CYR" w:cs="Times New Roman CYR"/>
          <w:color w:val="000000"/>
          <w:sz w:val="28"/>
          <w:szCs w:val="28"/>
          <w:highlight w:val="white"/>
        </w:rPr>
        <w:t>Крайстатом</w:t>
      </w:r>
      <w:proofErr w:type="spellEnd"/>
      <w:r>
        <w:rPr>
          <w:rFonts w:ascii="Times New Roman CYR" w:hAnsi="Times New Roman CYR" w:cs="Times New Roman CYR"/>
          <w:color w:val="000000"/>
          <w:sz w:val="28"/>
          <w:szCs w:val="28"/>
          <w:highlight w:val="white"/>
        </w:rPr>
        <w:t>. Два дома, площадью 348 кв.м., засчитаны ошибочно, т.к. дома находятся  в городе Боготоле.</w:t>
      </w:r>
    </w:p>
    <w:p w:rsidR="00E179F9" w:rsidRDefault="00E179F9" w:rsidP="00623F3C">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25. </w:t>
      </w:r>
      <w:r>
        <w:rPr>
          <w:rFonts w:ascii="Times New Roman CYR" w:hAnsi="Times New Roman CYR" w:cs="Times New Roman CYR"/>
          <w:b/>
          <w:bCs/>
          <w:color w:val="000000"/>
          <w:sz w:val="28"/>
          <w:szCs w:val="28"/>
        </w:rPr>
        <w:t>Площадь земельных участков, предоставленных для строительства, в расчете на 10 тыс. человек населения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E179F9" w:rsidRDefault="00E179F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Число земельных участков предоставленных для строительства составило 13 единиц, в том числе для жилищного строительства – 11 участков. На 10 тыс</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еловек населения района приходится 2,51 га земельных участков, предоставленных для строительства. К 2019 году этот показатель увеличится до 9,25 га.(в основном за счет снижения численности населения и ведения  жилищного строительства II этапа усадебной застройки в с</w:t>
      </w:r>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 xml:space="preserve">оготол с 2017 г.). </w:t>
      </w:r>
      <w:r>
        <w:rPr>
          <w:rFonts w:ascii="Times New Roman CYR" w:hAnsi="Times New Roman CYR" w:cs="Times New Roman CYR"/>
          <w:sz w:val="28"/>
          <w:szCs w:val="28"/>
        </w:rPr>
        <w:tab/>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928"/>
        <w:gridCol w:w="997"/>
        <w:gridCol w:w="1129"/>
        <w:gridCol w:w="1012"/>
        <w:gridCol w:w="993"/>
        <w:gridCol w:w="993"/>
      </w:tblGrid>
      <w:tr w:rsidR="00E179F9">
        <w:tc>
          <w:tcPr>
            <w:tcW w:w="4928" w:type="dxa"/>
            <w:tcBorders>
              <w:top w:val="single" w:sz="4" w:space="0" w:color="auto"/>
              <w:bottom w:val="single" w:sz="4" w:space="0" w:color="auto"/>
              <w:right w:val="single" w:sz="4" w:space="0" w:color="auto"/>
            </w:tcBorders>
          </w:tcPr>
          <w:p w:rsidR="00E179F9" w:rsidRDefault="00E179F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Площадь земельных участков (Га), предоставленных </w:t>
            </w:r>
            <w:proofErr w:type="gramStart"/>
            <w:r>
              <w:rPr>
                <w:rFonts w:ascii="Times New Roman CYR" w:hAnsi="Times New Roman CYR" w:cs="Times New Roman CYR"/>
                <w:sz w:val="28"/>
                <w:szCs w:val="28"/>
              </w:rPr>
              <w:t>для</w:t>
            </w:r>
            <w:proofErr w:type="gramEnd"/>
            <w:r>
              <w:rPr>
                <w:rFonts w:ascii="Times New Roman CYR" w:hAnsi="Times New Roman CYR" w:cs="Times New Roman CYR"/>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2015</w:t>
            </w:r>
          </w:p>
        </w:tc>
        <w:tc>
          <w:tcPr>
            <w:tcW w:w="1129"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2016</w:t>
            </w:r>
          </w:p>
        </w:tc>
        <w:tc>
          <w:tcPr>
            <w:tcW w:w="1012"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2017</w:t>
            </w:r>
          </w:p>
        </w:tc>
        <w:tc>
          <w:tcPr>
            <w:tcW w:w="99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2018</w:t>
            </w:r>
          </w:p>
        </w:tc>
        <w:tc>
          <w:tcPr>
            <w:tcW w:w="993" w:type="dxa"/>
            <w:tcBorders>
              <w:top w:val="single" w:sz="4" w:space="0" w:color="auto"/>
              <w:left w:val="single" w:sz="4" w:space="0" w:color="auto"/>
              <w:bottom w:val="single" w:sz="4" w:space="0" w:color="auto"/>
            </w:tcBorders>
          </w:tcPr>
          <w:p w:rsidR="00E179F9" w:rsidRDefault="00E179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2019</w:t>
            </w:r>
          </w:p>
        </w:tc>
      </w:tr>
      <w:tr w:rsidR="00E179F9">
        <w:tc>
          <w:tcPr>
            <w:tcW w:w="4928" w:type="dxa"/>
            <w:tcBorders>
              <w:top w:val="single" w:sz="4" w:space="0" w:color="auto"/>
              <w:bottom w:val="single" w:sz="4" w:space="0" w:color="auto"/>
              <w:right w:val="single" w:sz="4" w:space="0" w:color="auto"/>
            </w:tcBorders>
          </w:tcPr>
          <w:p w:rsidR="00E179F9" w:rsidRDefault="00E179F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жилищного строительства (в т.ч. для ИЖС)</w:t>
            </w:r>
          </w:p>
        </w:tc>
        <w:tc>
          <w:tcPr>
            <w:tcW w:w="997"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5,35 га (5,35 га)</w:t>
            </w:r>
          </w:p>
        </w:tc>
        <w:tc>
          <w:tcPr>
            <w:tcW w:w="1129"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2,16 га (2,16 га)</w:t>
            </w:r>
          </w:p>
        </w:tc>
        <w:tc>
          <w:tcPr>
            <w:tcW w:w="1012"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6,5 га (6,5 га)</w:t>
            </w:r>
          </w:p>
        </w:tc>
        <w:tc>
          <w:tcPr>
            <w:tcW w:w="99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7,0 га (7,0 га)</w:t>
            </w:r>
          </w:p>
        </w:tc>
        <w:tc>
          <w:tcPr>
            <w:tcW w:w="993" w:type="dxa"/>
            <w:tcBorders>
              <w:top w:val="single" w:sz="4" w:space="0" w:color="auto"/>
              <w:left w:val="single" w:sz="4" w:space="0" w:color="auto"/>
              <w:bottom w:val="single" w:sz="4" w:space="0" w:color="auto"/>
            </w:tcBorders>
          </w:tcPr>
          <w:p w:rsidR="00E179F9" w:rsidRDefault="00E179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7,0 га (7,0 га)</w:t>
            </w:r>
          </w:p>
        </w:tc>
      </w:tr>
      <w:tr w:rsidR="00E179F9">
        <w:tc>
          <w:tcPr>
            <w:tcW w:w="4928" w:type="dxa"/>
            <w:tcBorders>
              <w:top w:val="single" w:sz="4" w:space="0" w:color="auto"/>
              <w:bottom w:val="single" w:sz="4" w:space="0" w:color="auto"/>
              <w:right w:val="single" w:sz="4" w:space="0" w:color="auto"/>
            </w:tcBorders>
          </w:tcPr>
          <w:p w:rsidR="00E179F9" w:rsidRDefault="00E179F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комплексного освоения в целях жилищного строительства</w:t>
            </w:r>
          </w:p>
        </w:tc>
        <w:tc>
          <w:tcPr>
            <w:tcW w:w="997"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0</w:t>
            </w:r>
          </w:p>
        </w:tc>
        <w:tc>
          <w:tcPr>
            <w:tcW w:w="1129"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0</w:t>
            </w:r>
          </w:p>
        </w:tc>
        <w:tc>
          <w:tcPr>
            <w:tcW w:w="1012"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0</w:t>
            </w:r>
          </w:p>
        </w:tc>
        <w:tc>
          <w:tcPr>
            <w:tcW w:w="993" w:type="dxa"/>
            <w:tcBorders>
              <w:top w:val="single" w:sz="4" w:space="0" w:color="auto"/>
              <w:left w:val="single" w:sz="4" w:space="0" w:color="auto"/>
              <w:bottom w:val="single" w:sz="4" w:space="0" w:color="auto"/>
            </w:tcBorders>
          </w:tcPr>
          <w:p w:rsidR="00E179F9" w:rsidRDefault="00E179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0</w:t>
            </w:r>
          </w:p>
        </w:tc>
      </w:tr>
      <w:tr w:rsidR="00E179F9">
        <w:tc>
          <w:tcPr>
            <w:tcW w:w="4928" w:type="dxa"/>
            <w:tcBorders>
              <w:top w:val="single" w:sz="4" w:space="0" w:color="auto"/>
              <w:bottom w:val="single" w:sz="4" w:space="0" w:color="auto"/>
              <w:right w:val="single" w:sz="4" w:space="0" w:color="auto"/>
            </w:tcBorders>
          </w:tcPr>
          <w:p w:rsidR="00E179F9" w:rsidRDefault="00E179F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строительства объектов, не являющихся объектами жилищного строительства</w:t>
            </w:r>
          </w:p>
        </w:tc>
        <w:tc>
          <w:tcPr>
            <w:tcW w:w="997"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0,3 га</w:t>
            </w:r>
          </w:p>
        </w:tc>
        <w:tc>
          <w:tcPr>
            <w:tcW w:w="1129"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0,38 га</w:t>
            </w:r>
          </w:p>
        </w:tc>
        <w:tc>
          <w:tcPr>
            <w:tcW w:w="1012"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1,5  га</w:t>
            </w:r>
          </w:p>
        </w:tc>
        <w:tc>
          <w:tcPr>
            <w:tcW w:w="993"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2,0 га</w:t>
            </w:r>
          </w:p>
        </w:tc>
        <w:tc>
          <w:tcPr>
            <w:tcW w:w="993" w:type="dxa"/>
            <w:tcBorders>
              <w:top w:val="single" w:sz="4" w:space="0" w:color="auto"/>
              <w:left w:val="single" w:sz="4" w:space="0" w:color="auto"/>
              <w:bottom w:val="single" w:sz="4" w:space="0" w:color="auto"/>
            </w:tcBorders>
          </w:tcPr>
          <w:p w:rsidR="00E179F9" w:rsidRDefault="00E179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2,0 га</w:t>
            </w:r>
          </w:p>
        </w:tc>
      </w:tr>
    </w:tbl>
    <w:p w:rsidR="00623F3C" w:rsidRDefault="00E179F9" w:rsidP="00623F3C">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25.1.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623F3C" w:rsidRDefault="00623F3C" w:rsidP="00623F3C">
      <w:pPr>
        <w:autoSpaceDE w:val="0"/>
        <w:autoSpaceDN w:val="0"/>
        <w:adjustRightInd w:val="0"/>
        <w:spacing w:line="240" w:lineRule="auto"/>
        <w:contextualSpacing/>
        <w:jc w:val="both"/>
        <w:rPr>
          <w:rFonts w:ascii="Times New Roman CYR" w:hAnsi="Times New Roman CYR" w:cs="Times New Roman CYR"/>
          <w:sz w:val="28"/>
          <w:szCs w:val="28"/>
        </w:rPr>
      </w:pPr>
      <w:r>
        <w:rPr>
          <w:rFonts w:ascii="Times New Roman CYR" w:hAnsi="Times New Roman CYR" w:cs="Times New Roman CYR"/>
          <w:b/>
          <w:bCs/>
          <w:sz w:val="28"/>
          <w:szCs w:val="28"/>
        </w:rPr>
        <w:tab/>
      </w:r>
      <w:r w:rsidR="00E179F9">
        <w:rPr>
          <w:rFonts w:ascii="Times New Roman CYR" w:hAnsi="Times New Roman CYR" w:cs="Times New Roman CYR"/>
          <w:sz w:val="28"/>
          <w:szCs w:val="28"/>
        </w:rPr>
        <w:t>Площадь земельных участков предоставленных для жилищного строительства, индивидуального строительства  в 2016 году составила 2,13 га на 10 тыс</w:t>
      </w:r>
      <w:proofErr w:type="gramStart"/>
      <w:r w:rsidR="00E179F9">
        <w:rPr>
          <w:rFonts w:ascii="Times New Roman CYR" w:hAnsi="Times New Roman CYR" w:cs="Times New Roman CYR"/>
          <w:sz w:val="28"/>
          <w:szCs w:val="28"/>
        </w:rPr>
        <w:t>.ч</w:t>
      </w:r>
      <w:proofErr w:type="gramEnd"/>
      <w:r w:rsidR="00E179F9">
        <w:rPr>
          <w:rFonts w:ascii="Times New Roman CYR" w:hAnsi="Times New Roman CYR" w:cs="Times New Roman CYR"/>
          <w:sz w:val="28"/>
          <w:szCs w:val="28"/>
        </w:rPr>
        <w:t>еловек населения района, в 2015 году этот показатель составлял 5,22 га.</w:t>
      </w:r>
    </w:p>
    <w:p w:rsidR="00E179F9" w:rsidRDefault="00623F3C" w:rsidP="00623F3C">
      <w:pPr>
        <w:autoSpaceDE w:val="0"/>
        <w:autoSpaceDN w:val="0"/>
        <w:adjustRightInd w:val="0"/>
        <w:spacing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r>
      <w:r w:rsidR="00E179F9">
        <w:rPr>
          <w:rFonts w:ascii="Times New Roman CYR" w:hAnsi="Times New Roman CYR" w:cs="Times New Roman CYR"/>
          <w:sz w:val="28"/>
          <w:szCs w:val="28"/>
        </w:rPr>
        <w:t xml:space="preserve">Причина снижения показателя: в 2016 г. </w:t>
      </w:r>
      <w:proofErr w:type="spellStart"/>
      <w:r w:rsidR="00E179F9">
        <w:rPr>
          <w:rFonts w:ascii="Times New Roman CYR" w:hAnsi="Times New Roman CYR" w:cs="Times New Roman CYR"/>
          <w:sz w:val="28"/>
          <w:szCs w:val="28"/>
        </w:rPr>
        <w:t>Боготольский</w:t>
      </w:r>
      <w:proofErr w:type="spellEnd"/>
      <w:r w:rsidR="00E179F9">
        <w:rPr>
          <w:rFonts w:ascii="Times New Roman CYR" w:hAnsi="Times New Roman CYR" w:cs="Times New Roman CYR"/>
          <w:sz w:val="28"/>
          <w:szCs w:val="28"/>
        </w:rPr>
        <w:t xml:space="preserve"> район принимал участие в  отборе муниципальных образований  на предоставление субсидий  из краевого бюджета бюджетам муниципальных образований Красноярского края на разработку проекта планировки и межевания земельных участков для жилищного строительства (с. Боготол 10,6 га),   но заявка неудовлетворенна. В 2017-2018 году </w:t>
      </w:r>
      <w:proofErr w:type="spellStart"/>
      <w:r w:rsidR="00E179F9">
        <w:rPr>
          <w:rFonts w:ascii="Times New Roman CYR" w:hAnsi="Times New Roman CYR" w:cs="Times New Roman CYR"/>
          <w:sz w:val="28"/>
          <w:szCs w:val="28"/>
        </w:rPr>
        <w:t>Боготольский</w:t>
      </w:r>
      <w:proofErr w:type="spellEnd"/>
      <w:r w:rsidR="00E179F9">
        <w:rPr>
          <w:rFonts w:ascii="Times New Roman CYR" w:hAnsi="Times New Roman CYR" w:cs="Times New Roman CYR"/>
          <w:sz w:val="28"/>
          <w:szCs w:val="28"/>
        </w:rPr>
        <w:t xml:space="preserve"> район планирует принять участие в отборе муниципальных образований на предоставление субсидий  из краевого бюджета.  </w:t>
      </w:r>
    </w:p>
    <w:p w:rsidR="00E179F9" w:rsidRPr="00CB01C4" w:rsidRDefault="00E179F9" w:rsidP="00623F3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 К 2019 году этот показатель увеличится до 7,2 га.(в основном за счет снижения численности населения и ведения  жилищного строительства II этапа усадебной застройки в с</w:t>
      </w:r>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оготол).</w:t>
      </w:r>
    </w:p>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623F3C" w:rsidRDefault="00E179F9" w:rsidP="00623F3C">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26. </w:t>
      </w:r>
      <w:r>
        <w:rPr>
          <w:rFonts w:ascii="Times New Roman CYR" w:hAnsi="Times New Roman CYR" w:cs="Times New Roman CYR"/>
          <w:b/>
          <w:bCs/>
          <w:color w:val="000000"/>
          <w:sz w:val="28"/>
          <w:szCs w:val="28"/>
        </w:rPr>
        <w:t xml:space="preserve">Площадь земельных участков, предоставленных для строительства, в отношении которых </w:t>
      </w:r>
      <w:proofErr w:type="gramStart"/>
      <w:r>
        <w:rPr>
          <w:rFonts w:ascii="Times New Roman CYR" w:hAnsi="Times New Roman CYR" w:cs="Times New Roman CYR"/>
          <w:b/>
          <w:bCs/>
          <w:color w:val="000000"/>
          <w:sz w:val="28"/>
          <w:szCs w:val="28"/>
        </w:rPr>
        <w:t>с даты принятия</w:t>
      </w:r>
      <w:proofErr w:type="gramEnd"/>
      <w:r>
        <w:rPr>
          <w:rFonts w:ascii="Times New Roman CYR" w:hAnsi="Times New Roman CYR" w:cs="Times New Roman CYR"/>
          <w:b/>
          <w:bCs/>
          <w:color w:val="000000"/>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E179F9" w:rsidRDefault="00E179F9" w:rsidP="00623F3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179F9" w:rsidRDefault="00E179F9" w:rsidP="00623F3C">
      <w:pPr>
        <w:widowControl w:val="0"/>
        <w:autoSpaceDE w:val="0"/>
        <w:autoSpaceDN w:val="0"/>
        <w:adjustRightInd w:val="0"/>
        <w:spacing w:after="0" w:line="240" w:lineRule="auto"/>
        <w:contextualSpacing/>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26.1. </w:t>
      </w:r>
      <w:r>
        <w:rPr>
          <w:rFonts w:ascii="Times New Roman CYR" w:hAnsi="Times New Roman CYR" w:cs="Times New Roman CYR"/>
          <w:b/>
          <w:bCs/>
          <w:color w:val="000000"/>
          <w:sz w:val="28"/>
          <w:szCs w:val="28"/>
        </w:rPr>
        <w:t>объектов жилищного строительства - в течение 3 лет</w:t>
      </w:r>
    </w:p>
    <w:p w:rsidR="00623F3C" w:rsidRDefault="00E179F9" w:rsidP="00623F3C">
      <w:pPr>
        <w:autoSpaceDE w:val="0"/>
        <w:autoSpaceDN w:val="0"/>
        <w:adjustRightInd w:val="0"/>
        <w:spacing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t>Земельных участков, предоставленных для строительства объектов жилищного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3 лет в районе нет.</w:t>
      </w:r>
    </w:p>
    <w:p w:rsidR="00E179F9" w:rsidRDefault="00E179F9" w:rsidP="00623F3C">
      <w:pPr>
        <w:autoSpaceDE w:val="0"/>
        <w:autoSpaceDN w:val="0"/>
        <w:adjustRightInd w:val="0"/>
        <w:spacing w:line="240" w:lineRule="auto"/>
        <w:contextualSpacing/>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26.2. </w:t>
      </w:r>
      <w:r>
        <w:rPr>
          <w:rFonts w:ascii="Times New Roman CYR" w:hAnsi="Times New Roman CYR" w:cs="Times New Roman CYR"/>
          <w:b/>
          <w:bCs/>
          <w:color w:val="000000"/>
          <w:sz w:val="28"/>
          <w:szCs w:val="28"/>
        </w:rPr>
        <w:t>иных объектов капитального строительства - в течение 5 лет</w:t>
      </w:r>
    </w:p>
    <w:p w:rsidR="00E179F9" w:rsidRPr="00CB01C4" w:rsidRDefault="00E179F9" w:rsidP="00623F3C">
      <w:pPr>
        <w:widowControl w:val="0"/>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4"/>
          <w:szCs w:val="24"/>
        </w:rPr>
        <w:tab/>
      </w:r>
      <w:r>
        <w:rPr>
          <w:rFonts w:ascii="Times New Roman CYR" w:hAnsi="Times New Roman CYR" w:cs="Times New Roman CYR"/>
          <w:sz w:val="28"/>
          <w:szCs w:val="28"/>
        </w:rPr>
        <w:t>Также отсутствуют земельные участки, предоставленные для строительства иных объектов,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5 лет.</w:t>
      </w:r>
    </w:p>
    <w:p w:rsidR="00E179F9" w:rsidRDefault="00E179F9" w:rsidP="00623F3C">
      <w:pPr>
        <w:widowControl w:val="0"/>
        <w:autoSpaceDE w:val="0"/>
        <w:autoSpaceDN w:val="0"/>
        <w:adjustRightInd w:val="0"/>
        <w:spacing w:after="0" w:line="240" w:lineRule="auto"/>
        <w:contextualSpacing/>
        <w:rPr>
          <w:rFonts w:ascii="Arial" w:hAnsi="Arial" w:cs="Arial"/>
          <w:sz w:val="16"/>
          <w:szCs w:val="16"/>
        </w:rPr>
      </w:pPr>
    </w:p>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179F9" w:rsidRDefault="00E179F9" w:rsidP="00623F3C">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lastRenderedPageBreak/>
        <w:t xml:space="preserve"> </w:t>
      </w:r>
      <w:r>
        <w:rPr>
          <w:rFonts w:ascii="Times New Roman" w:hAnsi="Times New Roman" w:cs="Times New Roman"/>
          <w:b/>
          <w:bCs/>
          <w:color w:val="000000"/>
          <w:sz w:val="28"/>
          <w:szCs w:val="28"/>
        </w:rPr>
        <w:t xml:space="preserve">VII. </w:t>
      </w:r>
      <w:r>
        <w:rPr>
          <w:rFonts w:ascii="Times New Roman CYR" w:hAnsi="Times New Roman CYR" w:cs="Times New Roman CYR"/>
          <w:b/>
          <w:bCs/>
          <w:color w:val="000000"/>
          <w:sz w:val="28"/>
          <w:szCs w:val="28"/>
        </w:rPr>
        <w:t>Жилищно-коммунальное хозяйство</w:t>
      </w: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На территории района услуги Ж</w:t>
      </w:r>
      <w:proofErr w:type="gramStart"/>
      <w:r>
        <w:rPr>
          <w:rFonts w:ascii="Times New Roman CYR" w:hAnsi="Times New Roman CYR" w:cs="Times New Roman CYR"/>
          <w:sz w:val="28"/>
          <w:szCs w:val="28"/>
        </w:rPr>
        <w:t>КХ в 201</w:t>
      </w:r>
      <w:proofErr w:type="gramEnd"/>
      <w:r>
        <w:rPr>
          <w:rFonts w:ascii="Times New Roman CYR" w:hAnsi="Times New Roman CYR" w:cs="Times New Roman CYR"/>
          <w:sz w:val="28"/>
          <w:szCs w:val="28"/>
        </w:rPr>
        <w:t>6 году</w:t>
      </w:r>
    </w:p>
    <w:p w:rsidR="00623F3C" w:rsidRDefault="00E179F9" w:rsidP="00623F3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оказывали: - МУП «РТЭК», МКП «Услуга», ООО «Водоканал», ТСЖ «Нефтяник».</w:t>
      </w:r>
    </w:p>
    <w:p w:rsidR="00E179F9" w:rsidRDefault="00E179F9" w:rsidP="00623F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179F9" w:rsidRDefault="00E179F9" w:rsidP="00623F3C">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27. </w:t>
      </w:r>
      <w:r>
        <w:rPr>
          <w:rFonts w:ascii="Times New Roman CYR" w:hAnsi="Times New Roman CYR" w:cs="Times New Roman CYR"/>
          <w:b/>
          <w:bCs/>
          <w:color w:val="000000"/>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E179F9" w:rsidRDefault="00E179F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составляет 100%.</w:t>
      </w:r>
    </w:p>
    <w:p w:rsidR="00E179F9" w:rsidRDefault="00E179F9" w:rsidP="00623F3C">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28. </w:t>
      </w:r>
      <w:r>
        <w:rPr>
          <w:rFonts w:ascii="Times New Roman CYR" w:hAnsi="Times New Roman CYR" w:cs="Times New Roman CYR"/>
          <w:b/>
          <w:bCs/>
          <w:color w:val="000000"/>
          <w:sz w:val="28"/>
          <w:szCs w:val="28"/>
        </w:rPr>
        <w:t xml:space="preserve">Доля организаций коммунального комплекса, осуществляющих производство товаров, оказание услуг по </w:t>
      </w:r>
      <w:proofErr w:type="spellStart"/>
      <w:r>
        <w:rPr>
          <w:rFonts w:ascii="Times New Roman CYR" w:hAnsi="Times New Roman CYR" w:cs="Times New Roman CYR"/>
          <w:b/>
          <w:bCs/>
          <w:color w:val="000000"/>
          <w:sz w:val="28"/>
          <w:szCs w:val="28"/>
        </w:rPr>
        <w:t>водо</w:t>
      </w:r>
      <w:proofErr w:type="spellEnd"/>
      <w:r>
        <w:rPr>
          <w:rFonts w:ascii="Times New Roman CYR" w:hAnsi="Times New Roman CYR" w:cs="Times New Roman CYR"/>
          <w:b/>
          <w:bCs/>
          <w:color w:val="000000"/>
          <w:sz w:val="28"/>
          <w:szCs w:val="28"/>
        </w:rPr>
        <w:t>-, тепл</w:t>
      </w:r>
      <w:proofErr w:type="gramStart"/>
      <w:r>
        <w:rPr>
          <w:rFonts w:ascii="Times New Roman CYR" w:hAnsi="Times New Roman CYR" w:cs="Times New Roman CYR"/>
          <w:b/>
          <w:bCs/>
          <w:color w:val="000000"/>
          <w:sz w:val="28"/>
          <w:szCs w:val="28"/>
        </w:rPr>
        <w:t>о-</w:t>
      </w:r>
      <w:proofErr w:type="gramEnd"/>
      <w:r>
        <w:rPr>
          <w:rFonts w:ascii="Times New Roman CYR" w:hAnsi="Times New Roman CYR" w:cs="Times New Roman CYR"/>
          <w:b/>
          <w:bCs/>
          <w:color w:val="000000"/>
          <w:sz w:val="28"/>
          <w:szCs w:val="28"/>
        </w:rPr>
        <w:t xml:space="preserve">, </w:t>
      </w:r>
      <w:proofErr w:type="spellStart"/>
      <w:r>
        <w:rPr>
          <w:rFonts w:ascii="Times New Roman CYR" w:hAnsi="Times New Roman CYR" w:cs="Times New Roman CYR"/>
          <w:b/>
          <w:bCs/>
          <w:color w:val="000000"/>
          <w:sz w:val="28"/>
          <w:szCs w:val="28"/>
        </w:rPr>
        <w:t>газо</w:t>
      </w:r>
      <w:proofErr w:type="spellEnd"/>
      <w:r>
        <w:rPr>
          <w:rFonts w:ascii="Times New Roman CYR" w:hAnsi="Times New Roman CYR" w:cs="Times New Roman CYR"/>
          <w:b/>
          <w:bCs/>
          <w:color w:val="000000"/>
          <w:sz w:val="28"/>
          <w:szCs w:val="28"/>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Pr>
          <w:rFonts w:ascii="Times New Roman CYR" w:hAnsi="Times New Roman CYR" w:cs="Times New Roman CYR"/>
          <w:b/>
          <w:bCs/>
          <w:color w:val="000000"/>
          <w:sz w:val="28"/>
          <w:szCs w:val="28"/>
        </w:rPr>
        <w:t>осуществляющих</w:t>
      </w:r>
      <w:proofErr w:type="gramEnd"/>
      <w:r>
        <w:rPr>
          <w:rFonts w:ascii="Times New Roman CYR" w:hAnsi="Times New Roman CYR" w:cs="Times New Roman CYR"/>
          <w:b/>
          <w:bCs/>
          <w:color w:val="000000"/>
          <w:sz w:val="28"/>
          <w:szCs w:val="28"/>
        </w:rPr>
        <w:t xml:space="preserve"> свою деятельность на территории городского округа (муниципального района)</w:t>
      </w:r>
    </w:p>
    <w:p w:rsidR="00E179F9" w:rsidRDefault="00E179F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организаций коммунального комплекса, осуществляющих производство товаров, оказание услуг по </w:t>
      </w:r>
      <w:proofErr w:type="spellStart"/>
      <w:r>
        <w:rPr>
          <w:rFonts w:ascii="Times New Roman CYR" w:hAnsi="Times New Roman CYR" w:cs="Times New Roman CYR"/>
          <w:sz w:val="28"/>
          <w:szCs w:val="28"/>
        </w:rPr>
        <w:t>водо</w:t>
      </w:r>
      <w:proofErr w:type="spellEnd"/>
      <w:r>
        <w:rPr>
          <w:rFonts w:ascii="Times New Roman CYR" w:hAnsi="Times New Roman CYR" w:cs="Times New Roman CYR"/>
          <w:sz w:val="28"/>
          <w:szCs w:val="28"/>
        </w:rPr>
        <w:t>-, тепл</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газо</w:t>
      </w:r>
      <w:proofErr w:type="spellEnd"/>
      <w:r>
        <w:rPr>
          <w:rFonts w:ascii="Times New Roman CYR" w:hAnsi="Times New Roman CYR" w:cs="Times New Roman CYR"/>
          <w:sz w:val="28"/>
          <w:szCs w:val="28"/>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Pr>
          <w:rFonts w:ascii="Times New Roman CYR" w:hAnsi="Times New Roman CYR" w:cs="Times New Roman CYR"/>
          <w:sz w:val="28"/>
          <w:szCs w:val="28"/>
        </w:rPr>
        <w:t>осуществляющих</w:t>
      </w:r>
      <w:proofErr w:type="gramEnd"/>
      <w:r>
        <w:rPr>
          <w:rFonts w:ascii="Times New Roman CYR" w:hAnsi="Times New Roman CYR" w:cs="Times New Roman CYR"/>
          <w:sz w:val="28"/>
          <w:szCs w:val="28"/>
        </w:rPr>
        <w:t xml:space="preserve"> свою деятельность на территории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составила 60 % .</w:t>
      </w:r>
    </w:p>
    <w:p w:rsidR="00E179F9" w:rsidRDefault="00E179F9" w:rsidP="00623F3C">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29. </w:t>
      </w:r>
      <w:r>
        <w:rPr>
          <w:rFonts w:ascii="Times New Roman CYR" w:hAnsi="Times New Roman CYR" w:cs="Times New Roman CYR"/>
          <w:b/>
          <w:bCs/>
          <w:color w:val="000000"/>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p>
    <w:p w:rsidR="00E179F9" w:rsidRDefault="00E179F9" w:rsidP="00623F3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4"/>
          <w:szCs w:val="24"/>
        </w:rPr>
        <w:tab/>
      </w:r>
      <w:r>
        <w:rPr>
          <w:rFonts w:ascii="Times New Roman CYR" w:hAnsi="Times New Roman CYR" w:cs="Times New Roman CYR"/>
          <w:sz w:val="30"/>
          <w:szCs w:val="30"/>
        </w:rPr>
        <w:t>На 31.12</w:t>
      </w:r>
      <w:r>
        <w:rPr>
          <w:rFonts w:ascii="Times New Roman CYR" w:hAnsi="Times New Roman CYR" w:cs="Times New Roman CYR"/>
          <w:sz w:val="28"/>
          <w:szCs w:val="28"/>
        </w:rPr>
        <w:t xml:space="preserve">.2016 г. в отношении 18,57 % земельных участков, на которых расположены многоквартирные дома, осуществлен земельный кадастровый </w:t>
      </w:r>
      <w:proofErr w:type="spellStart"/>
      <w:r>
        <w:rPr>
          <w:rFonts w:ascii="Times New Roman CYR" w:hAnsi="Times New Roman CYR" w:cs="Times New Roman CYR"/>
          <w:sz w:val="28"/>
          <w:szCs w:val="28"/>
        </w:rPr>
        <w:t>учет</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rPr>
        <w:t>величение</w:t>
      </w:r>
      <w:proofErr w:type="spellEnd"/>
      <w:r>
        <w:rPr>
          <w:rFonts w:ascii="Times New Roman CYR" w:hAnsi="Times New Roman CYR" w:cs="Times New Roman CYR"/>
          <w:sz w:val="28"/>
          <w:szCs w:val="28"/>
        </w:rPr>
        <w:t xml:space="preserve"> показателя по сравнению с 2015г. (10.54%) произошло в связи с проведением инвентаризации земельных участков. К 2019 году ожидаемый показатель составит 22,53%.</w:t>
      </w:r>
    </w:p>
    <w:tbl>
      <w:tblPr>
        <w:tblW w:w="0" w:type="auto"/>
        <w:tblInd w:w="88" w:type="dxa"/>
        <w:tblLayout w:type="fixed"/>
        <w:tblLook w:val="0000"/>
      </w:tblPr>
      <w:tblGrid>
        <w:gridCol w:w="594"/>
        <w:gridCol w:w="4391"/>
        <w:gridCol w:w="1274"/>
        <w:gridCol w:w="1417"/>
        <w:gridCol w:w="1275"/>
      </w:tblGrid>
      <w:tr w:rsidR="00E179F9">
        <w:trPr>
          <w:trHeight w:val="315"/>
        </w:trPr>
        <w:tc>
          <w:tcPr>
            <w:tcW w:w="594"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ab/>
              <w:t xml:space="preserve"> № </w:t>
            </w:r>
            <w:proofErr w:type="spellStart"/>
            <w:proofErr w:type="gramStart"/>
            <w:r>
              <w:rPr>
                <w:rFonts w:ascii="Times New Roman CYR" w:hAnsi="Times New Roman CYR" w:cs="Times New Roman CYR"/>
                <w:sz w:val="28"/>
                <w:szCs w:val="28"/>
              </w:rPr>
              <w:t>п</w:t>
            </w:r>
            <w:proofErr w:type="spellEnd"/>
            <w:proofErr w:type="gram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п</w:t>
            </w:r>
            <w:proofErr w:type="spellEnd"/>
          </w:p>
        </w:tc>
        <w:tc>
          <w:tcPr>
            <w:tcW w:w="4391" w:type="dxa"/>
            <w:tcBorders>
              <w:top w:val="single" w:sz="4" w:space="0" w:color="auto"/>
              <w:left w:val="nil"/>
              <w:bottom w:val="single" w:sz="4" w:space="0" w:color="auto"/>
              <w:right w:val="single" w:sz="4" w:space="0" w:color="auto"/>
            </w:tcBorders>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Показатель</w:t>
            </w:r>
          </w:p>
        </w:tc>
        <w:tc>
          <w:tcPr>
            <w:tcW w:w="1274" w:type="dxa"/>
            <w:tcBorders>
              <w:top w:val="single" w:sz="4" w:space="0" w:color="auto"/>
              <w:left w:val="nil"/>
              <w:bottom w:val="single" w:sz="4" w:space="0" w:color="auto"/>
              <w:right w:val="single" w:sz="4" w:space="0" w:color="auto"/>
            </w:tcBorders>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2014</w:t>
            </w:r>
          </w:p>
        </w:tc>
        <w:tc>
          <w:tcPr>
            <w:tcW w:w="1417" w:type="dxa"/>
            <w:tcBorders>
              <w:top w:val="single" w:sz="4" w:space="0" w:color="auto"/>
              <w:left w:val="nil"/>
              <w:bottom w:val="single" w:sz="4" w:space="0" w:color="auto"/>
              <w:right w:val="single" w:sz="4" w:space="0" w:color="auto"/>
            </w:tcBorders>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2015</w:t>
            </w:r>
          </w:p>
        </w:tc>
        <w:tc>
          <w:tcPr>
            <w:tcW w:w="1275" w:type="dxa"/>
            <w:tcBorders>
              <w:top w:val="single" w:sz="4" w:space="0" w:color="auto"/>
              <w:left w:val="nil"/>
              <w:bottom w:val="single" w:sz="4" w:space="0" w:color="auto"/>
              <w:right w:val="single" w:sz="4" w:space="0" w:color="auto"/>
            </w:tcBorders>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2016</w:t>
            </w:r>
          </w:p>
        </w:tc>
      </w:tr>
      <w:tr w:rsidR="00E179F9">
        <w:trPr>
          <w:trHeight w:val="1278"/>
        </w:trPr>
        <w:tc>
          <w:tcPr>
            <w:tcW w:w="594" w:type="dxa"/>
            <w:tcBorders>
              <w:top w:val="nil"/>
              <w:left w:val="single" w:sz="4" w:space="0" w:color="auto"/>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1</w:t>
            </w:r>
          </w:p>
        </w:tc>
        <w:tc>
          <w:tcPr>
            <w:tcW w:w="4391"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Общее число многоквартирных домов по состоянию на конец отчетного периода (по данным статистического отчета 1-жилфонд), единиц, в том числе</w:t>
            </w:r>
          </w:p>
        </w:tc>
        <w:tc>
          <w:tcPr>
            <w:tcW w:w="1274"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758</w:t>
            </w:r>
          </w:p>
        </w:tc>
        <w:tc>
          <w:tcPr>
            <w:tcW w:w="1417"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759</w:t>
            </w:r>
          </w:p>
        </w:tc>
        <w:tc>
          <w:tcPr>
            <w:tcW w:w="1275"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759</w:t>
            </w:r>
          </w:p>
        </w:tc>
      </w:tr>
      <w:tr w:rsidR="00E179F9">
        <w:trPr>
          <w:trHeight w:val="480"/>
        </w:trPr>
        <w:tc>
          <w:tcPr>
            <w:tcW w:w="594" w:type="dxa"/>
            <w:tcBorders>
              <w:top w:val="nil"/>
              <w:left w:val="single" w:sz="4" w:space="0" w:color="auto"/>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1.1</w:t>
            </w:r>
          </w:p>
        </w:tc>
        <w:tc>
          <w:tcPr>
            <w:tcW w:w="4391"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дома блокированной застройки</w:t>
            </w:r>
          </w:p>
        </w:tc>
        <w:tc>
          <w:tcPr>
            <w:tcW w:w="1274"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715</w:t>
            </w:r>
          </w:p>
        </w:tc>
        <w:tc>
          <w:tcPr>
            <w:tcW w:w="1417"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736</w:t>
            </w:r>
          </w:p>
        </w:tc>
        <w:tc>
          <w:tcPr>
            <w:tcW w:w="1275"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738</w:t>
            </w:r>
          </w:p>
        </w:tc>
      </w:tr>
      <w:tr w:rsidR="00E179F9">
        <w:trPr>
          <w:trHeight w:val="765"/>
        </w:trPr>
        <w:tc>
          <w:tcPr>
            <w:tcW w:w="594" w:type="dxa"/>
            <w:tcBorders>
              <w:top w:val="nil"/>
              <w:left w:val="single" w:sz="4" w:space="0" w:color="auto"/>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1.2</w:t>
            </w:r>
          </w:p>
        </w:tc>
        <w:tc>
          <w:tcPr>
            <w:tcW w:w="4391"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многоквартирные дома, имеющие помещения общего пользования</w:t>
            </w:r>
          </w:p>
        </w:tc>
        <w:tc>
          <w:tcPr>
            <w:tcW w:w="1274"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43</w:t>
            </w:r>
          </w:p>
        </w:tc>
        <w:tc>
          <w:tcPr>
            <w:tcW w:w="1417"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23</w:t>
            </w:r>
          </w:p>
        </w:tc>
        <w:tc>
          <w:tcPr>
            <w:tcW w:w="1275"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21</w:t>
            </w:r>
          </w:p>
        </w:tc>
      </w:tr>
      <w:tr w:rsidR="00E179F9">
        <w:trPr>
          <w:trHeight w:val="1575"/>
        </w:trPr>
        <w:tc>
          <w:tcPr>
            <w:tcW w:w="594" w:type="dxa"/>
            <w:tcBorders>
              <w:top w:val="nil"/>
              <w:left w:val="single" w:sz="4" w:space="0" w:color="auto"/>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2</w:t>
            </w:r>
          </w:p>
        </w:tc>
        <w:tc>
          <w:tcPr>
            <w:tcW w:w="4391"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Число многоквартирных домов, расположенных на земельных участках, в отношении которых осуществлен государственный кадастровый учет (единиц)</w:t>
            </w:r>
          </w:p>
        </w:tc>
        <w:tc>
          <w:tcPr>
            <w:tcW w:w="1274"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77</w:t>
            </w:r>
          </w:p>
        </w:tc>
        <w:tc>
          <w:tcPr>
            <w:tcW w:w="1417"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80</w:t>
            </w:r>
          </w:p>
        </w:tc>
        <w:tc>
          <w:tcPr>
            <w:tcW w:w="1275"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141</w:t>
            </w:r>
          </w:p>
        </w:tc>
      </w:tr>
      <w:tr w:rsidR="00E179F9">
        <w:trPr>
          <w:trHeight w:val="420"/>
        </w:trPr>
        <w:tc>
          <w:tcPr>
            <w:tcW w:w="594" w:type="dxa"/>
            <w:tcBorders>
              <w:top w:val="nil"/>
              <w:left w:val="single" w:sz="4" w:space="0" w:color="auto"/>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2.1</w:t>
            </w:r>
          </w:p>
        </w:tc>
        <w:tc>
          <w:tcPr>
            <w:tcW w:w="4391"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дома блокированной застройки</w:t>
            </w:r>
          </w:p>
        </w:tc>
        <w:tc>
          <w:tcPr>
            <w:tcW w:w="1274"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34</w:t>
            </w:r>
          </w:p>
        </w:tc>
        <w:tc>
          <w:tcPr>
            <w:tcW w:w="1417"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57</w:t>
            </w:r>
          </w:p>
        </w:tc>
        <w:tc>
          <w:tcPr>
            <w:tcW w:w="1275"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120</w:t>
            </w:r>
          </w:p>
        </w:tc>
      </w:tr>
      <w:tr w:rsidR="00E179F9">
        <w:trPr>
          <w:trHeight w:val="765"/>
        </w:trPr>
        <w:tc>
          <w:tcPr>
            <w:tcW w:w="594" w:type="dxa"/>
            <w:tcBorders>
              <w:top w:val="nil"/>
              <w:left w:val="single" w:sz="4" w:space="0" w:color="auto"/>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2.2</w:t>
            </w:r>
          </w:p>
        </w:tc>
        <w:tc>
          <w:tcPr>
            <w:tcW w:w="4391"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многоквартирные дома, имеющие помещения общего пользования</w:t>
            </w:r>
          </w:p>
        </w:tc>
        <w:tc>
          <w:tcPr>
            <w:tcW w:w="1274"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43</w:t>
            </w:r>
          </w:p>
        </w:tc>
        <w:tc>
          <w:tcPr>
            <w:tcW w:w="1417"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23</w:t>
            </w:r>
          </w:p>
        </w:tc>
        <w:tc>
          <w:tcPr>
            <w:tcW w:w="1275"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21</w:t>
            </w:r>
          </w:p>
        </w:tc>
      </w:tr>
      <w:tr w:rsidR="00E179F9">
        <w:trPr>
          <w:trHeight w:val="1326"/>
        </w:trPr>
        <w:tc>
          <w:tcPr>
            <w:tcW w:w="594" w:type="dxa"/>
            <w:tcBorders>
              <w:top w:val="nil"/>
              <w:left w:val="single" w:sz="4" w:space="0" w:color="auto"/>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3</w:t>
            </w:r>
          </w:p>
        </w:tc>
        <w:tc>
          <w:tcPr>
            <w:tcW w:w="4391"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Доля многоквартирных домов, расположенных на земельных участках, в отношении которых осуществлен государственный кадастровый учет, %</w:t>
            </w:r>
          </w:p>
        </w:tc>
        <w:tc>
          <w:tcPr>
            <w:tcW w:w="1274"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10,2</w:t>
            </w:r>
          </w:p>
        </w:tc>
        <w:tc>
          <w:tcPr>
            <w:tcW w:w="1417"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10,54</w:t>
            </w:r>
          </w:p>
        </w:tc>
        <w:tc>
          <w:tcPr>
            <w:tcW w:w="1275" w:type="dxa"/>
            <w:tcBorders>
              <w:top w:val="nil"/>
              <w:left w:val="nil"/>
              <w:bottom w:val="single" w:sz="4" w:space="0" w:color="auto"/>
              <w:right w:val="single" w:sz="4" w:space="0" w:color="auto"/>
            </w:tcBorders>
          </w:tcPr>
          <w:p w:rsidR="00E179F9" w:rsidRDefault="00E179F9">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18,57</w:t>
            </w:r>
          </w:p>
        </w:tc>
      </w:tr>
    </w:tbl>
    <w:p w:rsidR="00E179F9" w:rsidRDefault="00E179F9">
      <w:pPr>
        <w:widowControl w:val="0"/>
        <w:autoSpaceDE w:val="0"/>
        <w:autoSpaceDN w:val="0"/>
        <w:adjustRightInd w:val="0"/>
        <w:spacing w:after="0" w:line="240" w:lineRule="auto"/>
        <w:rPr>
          <w:rFonts w:ascii="Times New Roman" w:hAnsi="Times New Roman" w:cs="Times New Roman"/>
          <w:sz w:val="28"/>
          <w:szCs w:val="28"/>
          <w:lang w:val="en-US"/>
        </w:rPr>
      </w:pPr>
    </w:p>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179F9" w:rsidRDefault="00E179F9">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30. </w:t>
      </w:r>
      <w:proofErr w:type="gramStart"/>
      <w:r>
        <w:rPr>
          <w:rFonts w:ascii="Times New Roman CYR" w:hAnsi="Times New Roman CYR" w:cs="Times New Roman CYR"/>
          <w:b/>
          <w:bCs/>
          <w:color w:val="000000"/>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В 2016 г. доля населения, получившего жилые помещения и улучшившего жилищные условия</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в общей численности населения, состоящего на учете в качестве нуждающегося в жилых помещениях составила 10% (2 малоимущие семьи улучшили жилищные условия по </w:t>
      </w:r>
      <w:proofErr w:type="spellStart"/>
      <w:r>
        <w:rPr>
          <w:rFonts w:ascii="Times New Roman CYR" w:hAnsi="Times New Roman CYR" w:cs="Times New Roman CYR"/>
          <w:sz w:val="28"/>
          <w:szCs w:val="28"/>
        </w:rPr>
        <w:t>договарам</w:t>
      </w:r>
      <w:proofErr w:type="spellEnd"/>
      <w:r>
        <w:rPr>
          <w:rFonts w:ascii="Times New Roman CYR" w:hAnsi="Times New Roman CYR" w:cs="Times New Roman CYR"/>
          <w:sz w:val="28"/>
          <w:szCs w:val="28"/>
        </w:rPr>
        <w:t xml:space="preserve"> социального найма), что ниже 2015 года - 27,8%, так как в 2015 году действовала программа переселения граждан из аварийного жилого фонда. </w:t>
      </w:r>
    </w:p>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t xml:space="preserve">Численность населения (семей), состоящего на учете в качестве нуждающегося в жилых помещениях по договорам социального найма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2"/>
        <w:gridCol w:w="14"/>
        <w:gridCol w:w="3390"/>
        <w:gridCol w:w="1276"/>
        <w:gridCol w:w="1134"/>
        <w:gridCol w:w="1134"/>
        <w:gridCol w:w="1134"/>
        <w:gridCol w:w="992"/>
      </w:tblGrid>
      <w:tr w:rsidR="00E179F9">
        <w:tc>
          <w:tcPr>
            <w:tcW w:w="282" w:type="dxa"/>
            <w:tcBorders>
              <w:top w:val="single" w:sz="4" w:space="0" w:color="auto"/>
              <w:bottom w:val="single" w:sz="4" w:space="0" w:color="auto"/>
              <w:right w:val="single" w:sz="4" w:space="0" w:color="auto"/>
            </w:tcBorders>
          </w:tcPr>
          <w:p w:rsidR="00E179F9" w:rsidRDefault="00E179F9">
            <w:pPr>
              <w:autoSpaceDE w:val="0"/>
              <w:autoSpaceDN w:val="0"/>
              <w:adjustRightInd w:val="0"/>
              <w:spacing w:after="0"/>
              <w:jc w:val="both"/>
              <w:rPr>
                <w:rFonts w:ascii="Times New Roman CYR" w:hAnsi="Times New Roman CYR" w:cs="Times New Roman CYR"/>
                <w:sz w:val="28"/>
                <w:szCs w:val="28"/>
              </w:rPr>
            </w:pPr>
          </w:p>
        </w:tc>
        <w:tc>
          <w:tcPr>
            <w:tcW w:w="3404" w:type="dxa"/>
            <w:gridSpan w:val="2"/>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after="0"/>
              <w:rPr>
                <w:rFonts w:ascii="Times New Roman CYR" w:hAnsi="Times New Roman CYR" w:cs="Times New Roman CYR"/>
                <w:sz w:val="28"/>
                <w:szCs w:val="28"/>
              </w:rPr>
            </w:pPr>
          </w:p>
        </w:tc>
        <w:tc>
          <w:tcPr>
            <w:tcW w:w="1276"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предыдущий период</w:t>
            </w:r>
          </w:p>
        </w:tc>
        <w:tc>
          <w:tcPr>
            <w:tcW w:w="1134"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отчетный период</w:t>
            </w:r>
          </w:p>
        </w:tc>
        <w:tc>
          <w:tcPr>
            <w:tcW w:w="3260" w:type="dxa"/>
            <w:gridSpan w:val="3"/>
            <w:tcBorders>
              <w:top w:val="single" w:sz="4" w:space="0" w:color="auto"/>
              <w:left w:val="single" w:sz="4" w:space="0" w:color="auto"/>
              <w:bottom w:val="single" w:sz="4" w:space="0" w:color="auto"/>
            </w:tcBorders>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прогноз</w:t>
            </w:r>
          </w:p>
        </w:tc>
      </w:tr>
      <w:tr w:rsidR="00E179F9">
        <w:tc>
          <w:tcPr>
            <w:tcW w:w="296" w:type="dxa"/>
            <w:gridSpan w:val="2"/>
            <w:tcBorders>
              <w:top w:val="single" w:sz="4" w:space="0" w:color="auto"/>
              <w:bottom w:val="single" w:sz="4" w:space="0" w:color="auto"/>
              <w:right w:val="single" w:sz="4" w:space="0" w:color="auto"/>
            </w:tcBorders>
          </w:tcPr>
          <w:p w:rsidR="00E179F9" w:rsidRDefault="00E179F9">
            <w:pPr>
              <w:autoSpaceDE w:val="0"/>
              <w:autoSpaceDN w:val="0"/>
              <w:adjustRightInd w:val="0"/>
              <w:spacing w:after="0"/>
              <w:jc w:val="both"/>
              <w:rPr>
                <w:rFonts w:ascii="Times New Roman CYR" w:hAnsi="Times New Roman CYR" w:cs="Times New Roman CYR"/>
                <w:sz w:val="28"/>
                <w:szCs w:val="28"/>
              </w:rPr>
            </w:pPr>
          </w:p>
        </w:tc>
        <w:tc>
          <w:tcPr>
            <w:tcW w:w="3390"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after="0"/>
              <w:rPr>
                <w:rFonts w:ascii="Times New Roman CYR" w:hAnsi="Times New Roman CYR" w:cs="Times New Roman CYR"/>
                <w:sz w:val="28"/>
                <w:szCs w:val="28"/>
              </w:rPr>
            </w:pPr>
          </w:p>
        </w:tc>
        <w:tc>
          <w:tcPr>
            <w:tcW w:w="1276"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2015</w:t>
            </w:r>
          </w:p>
        </w:tc>
        <w:tc>
          <w:tcPr>
            <w:tcW w:w="1134"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2016</w:t>
            </w:r>
          </w:p>
        </w:tc>
        <w:tc>
          <w:tcPr>
            <w:tcW w:w="1134"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2017</w:t>
            </w:r>
          </w:p>
        </w:tc>
        <w:tc>
          <w:tcPr>
            <w:tcW w:w="1134"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2018</w:t>
            </w:r>
          </w:p>
        </w:tc>
        <w:tc>
          <w:tcPr>
            <w:tcW w:w="992" w:type="dxa"/>
            <w:tcBorders>
              <w:top w:val="single" w:sz="4" w:space="0" w:color="auto"/>
              <w:left w:val="single" w:sz="4" w:space="0" w:color="auto"/>
              <w:bottom w:val="single" w:sz="4" w:space="0" w:color="auto"/>
            </w:tcBorders>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2019</w:t>
            </w:r>
          </w:p>
        </w:tc>
      </w:tr>
      <w:tr w:rsidR="00E179F9">
        <w:tc>
          <w:tcPr>
            <w:tcW w:w="296" w:type="dxa"/>
            <w:gridSpan w:val="2"/>
            <w:tcBorders>
              <w:top w:val="single" w:sz="4" w:space="0" w:color="auto"/>
              <w:bottom w:val="single" w:sz="4" w:space="0" w:color="auto"/>
              <w:right w:val="single" w:sz="4" w:space="0" w:color="auto"/>
            </w:tcBorders>
          </w:tcPr>
          <w:p w:rsidR="00E179F9" w:rsidRDefault="00E179F9">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3390"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after="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27,8</w:t>
            </w:r>
          </w:p>
        </w:tc>
        <w:tc>
          <w:tcPr>
            <w:tcW w:w="1134"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11,1</w:t>
            </w:r>
          </w:p>
        </w:tc>
        <w:tc>
          <w:tcPr>
            <w:tcW w:w="1134"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11,1</w:t>
            </w:r>
          </w:p>
        </w:tc>
        <w:tc>
          <w:tcPr>
            <w:tcW w:w="992" w:type="dxa"/>
            <w:tcBorders>
              <w:top w:val="single" w:sz="4" w:space="0" w:color="auto"/>
              <w:left w:val="single" w:sz="4" w:space="0" w:color="auto"/>
              <w:bottom w:val="single" w:sz="4" w:space="0" w:color="auto"/>
            </w:tcBorders>
            <w:vAlign w:val="center"/>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11,1</w:t>
            </w:r>
          </w:p>
        </w:tc>
      </w:tr>
      <w:tr w:rsidR="00E179F9">
        <w:tc>
          <w:tcPr>
            <w:tcW w:w="296" w:type="dxa"/>
            <w:gridSpan w:val="2"/>
            <w:tcBorders>
              <w:top w:val="single" w:sz="4" w:space="0" w:color="auto"/>
              <w:bottom w:val="single" w:sz="4" w:space="0" w:color="auto"/>
              <w:right w:val="single" w:sz="4" w:space="0" w:color="auto"/>
            </w:tcBorders>
          </w:tcPr>
          <w:p w:rsidR="00E179F9" w:rsidRDefault="00E179F9">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2</w:t>
            </w:r>
          </w:p>
        </w:tc>
        <w:tc>
          <w:tcPr>
            <w:tcW w:w="3390"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населения (семей), получившего жилые помещения и улучшившего жилищные условия </w:t>
            </w:r>
            <w:r>
              <w:rPr>
                <w:rFonts w:ascii="Times New Roman CYR" w:hAnsi="Times New Roman CYR" w:cs="Times New Roman CYR"/>
                <w:b/>
                <w:bCs/>
                <w:sz w:val="28"/>
                <w:szCs w:val="28"/>
              </w:rPr>
              <w:t>по договору социального найма</w:t>
            </w:r>
            <w:r>
              <w:rPr>
                <w:rFonts w:ascii="Times New Roman CYR" w:hAnsi="Times New Roman CYR" w:cs="Times New Roman CYR"/>
                <w:sz w:val="28"/>
                <w:szCs w:val="28"/>
              </w:rPr>
              <w:t xml:space="preserve"> в отчетном году</w:t>
            </w:r>
            <w:r>
              <w:rPr>
                <w:rFonts w:ascii="Times New Roman CYR" w:hAnsi="Times New Roman CYR" w:cs="Times New Roman CYR"/>
                <w:b/>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992" w:type="dxa"/>
            <w:tcBorders>
              <w:top w:val="single" w:sz="4" w:space="0" w:color="auto"/>
              <w:left w:val="single" w:sz="4" w:space="0" w:color="auto"/>
              <w:bottom w:val="single" w:sz="4" w:space="0" w:color="auto"/>
            </w:tcBorders>
            <w:vAlign w:val="center"/>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w:t>
            </w:r>
          </w:p>
        </w:tc>
      </w:tr>
      <w:tr w:rsidR="00E179F9">
        <w:tc>
          <w:tcPr>
            <w:tcW w:w="296" w:type="dxa"/>
            <w:gridSpan w:val="2"/>
            <w:tcBorders>
              <w:top w:val="single" w:sz="4" w:space="0" w:color="auto"/>
              <w:bottom w:val="single" w:sz="4" w:space="0" w:color="auto"/>
              <w:right w:val="single" w:sz="4" w:space="0" w:color="auto"/>
            </w:tcBorders>
          </w:tcPr>
          <w:p w:rsidR="00E179F9" w:rsidRDefault="00E179F9">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3</w:t>
            </w:r>
          </w:p>
        </w:tc>
        <w:tc>
          <w:tcPr>
            <w:tcW w:w="3390" w:type="dxa"/>
            <w:tcBorders>
              <w:top w:val="single" w:sz="4" w:space="0" w:color="auto"/>
              <w:left w:val="single" w:sz="4" w:space="0" w:color="auto"/>
              <w:bottom w:val="single" w:sz="4" w:space="0" w:color="auto"/>
              <w:right w:val="single" w:sz="4" w:space="0" w:color="auto"/>
            </w:tcBorders>
          </w:tcPr>
          <w:p w:rsidR="00E179F9" w:rsidRDefault="00E179F9">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населения (семей), состоящего на учете в качестве нуждающегося в жилых помещениях </w:t>
            </w:r>
            <w:r>
              <w:rPr>
                <w:rFonts w:ascii="Times New Roman CYR" w:hAnsi="Times New Roman CYR" w:cs="Times New Roman CYR"/>
                <w:b/>
                <w:bCs/>
                <w:sz w:val="28"/>
                <w:szCs w:val="28"/>
              </w:rPr>
              <w:t>по договорам социального найма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на конец прошлого года</w:t>
            </w:r>
            <w:r>
              <w:rPr>
                <w:rFonts w:ascii="Times New Roman CYR" w:hAnsi="Times New Roman CYR" w:cs="Times New Roman CY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36</w:t>
            </w:r>
          </w:p>
        </w:tc>
        <w:tc>
          <w:tcPr>
            <w:tcW w:w="1134"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20</w:t>
            </w:r>
          </w:p>
        </w:tc>
        <w:tc>
          <w:tcPr>
            <w:tcW w:w="1134"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18</w:t>
            </w:r>
          </w:p>
        </w:tc>
        <w:tc>
          <w:tcPr>
            <w:tcW w:w="1134"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18</w:t>
            </w:r>
          </w:p>
        </w:tc>
        <w:tc>
          <w:tcPr>
            <w:tcW w:w="992" w:type="dxa"/>
            <w:tcBorders>
              <w:top w:val="single" w:sz="4" w:space="0" w:color="auto"/>
              <w:left w:val="single" w:sz="4" w:space="0" w:color="auto"/>
              <w:bottom w:val="single" w:sz="4" w:space="0" w:color="auto"/>
            </w:tcBorders>
            <w:vAlign w:val="center"/>
          </w:tcPr>
          <w:p w:rsidR="00E179F9" w:rsidRDefault="00E179F9">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18</w:t>
            </w:r>
          </w:p>
        </w:tc>
      </w:tr>
    </w:tbl>
    <w:p w:rsidR="00E179F9" w:rsidRDefault="00E179F9">
      <w:pPr>
        <w:widowControl w:val="0"/>
        <w:autoSpaceDE w:val="0"/>
        <w:autoSpaceDN w:val="0"/>
        <w:adjustRightInd w:val="0"/>
        <w:spacing w:after="0" w:line="240" w:lineRule="auto"/>
        <w:rPr>
          <w:rFonts w:ascii="Arial" w:hAnsi="Arial" w:cs="Arial"/>
          <w:sz w:val="16"/>
          <w:szCs w:val="16"/>
        </w:rPr>
      </w:pPr>
    </w:p>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179F9" w:rsidRDefault="00E179F9">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VIII. </w:t>
      </w:r>
      <w:r>
        <w:rPr>
          <w:rFonts w:ascii="Times New Roman CYR" w:hAnsi="Times New Roman CYR" w:cs="Times New Roman CYR"/>
          <w:b/>
          <w:bCs/>
          <w:color w:val="000000"/>
          <w:sz w:val="28"/>
          <w:szCs w:val="28"/>
        </w:rPr>
        <w:t>Организация муниципального управления</w:t>
      </w:r>
    </w:p>
    <w:p w:rsidR="00E179F9" w:rsidRDefault="00E179F9" w:rsidP="00623F3C">
      <w:pPr>
        <w:autoSpaceDE w:val="0"/>
        <w:autoSpaceDN w:val="0"/>
        <w:adjustRightInd w:val="0"/>
        <w:spacing w:line="240" w:lineRule="auto"/>
        <w:ind w:firstLine="748"/>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Районный бюджет в 2016 году по доходам исполнен в объеме 463,5 млн. руб. или 96,9 % от плановых назначений. </w:t>
      </w:r>
    </w:p>
    <w:p w:rsidR="00E179F9" w:rsidRDefault="00E179F9" w:rsidP="00623F3C">
      <w:pPr>
        <w:autoSpaceDE w:val="0"/>
        <w:autoSpaceDN w:val="0"/>
        <w:adjustRightInd w:val="0"/>
        <w:spacing w:line="240" w:lineRule="auto"/>
        <w:ind w:firstLine="748"/>
        <w:contextualSpacing/>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Основным доходным источником среди собственных доходов районного бюджета являются: </w:t>
      </w:r>
    </w:p>
    <w:p w:rsidR="00E179F9" w:rsidRPr="00623F3C" w:rsidRDefault="00E179F9" w:rsidP="00623F3C">
      <w:pPr>
        <w:autoSpaceDE w:val="0"/>
        <w:autoSpaceDN w:val="0"/>
        <w:adjustRightInd w:val="0"/>
        <w:spacing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w:t>
      </w:r>
      <w:r w:rsidRPr="00623F3C">
        <w:rPr>
          <w:rFonts w:ascii="Times New Roman CYR" w:hAnsi="Times New Roman CYR" w:cs="Times New Roman CYR"/>
          <w:iCs/>
          <w:sz w:val="28"/>
          <w:szCs w:val="28"/>
        </w:rPr>
        <w:t>налог на доходы физических лиц</w:t>
      </w:r>
      <w:r w:rsidRPr="00623F3C">
        <w:rPr>
          <w:rFonts w:ascii="Times New Roman CYR" w:hAnsi="Times New Roman CYR" w:cs="Times New Roman CYR"/>
          <w:sz w:val="28"/>
          <w:szCs w:val="28"/>
        </w:rPr>
        <w:t xml:space="preserve"> (55,2 % всех запланированных собственных доходов),</w:t>
      </w:r>
    </w:p>
    <w:p w:rsidR="00E179F9" w:rsidRPr="00623F3C" w:rsidRDefault="00E179F9" w:rsidP="00623F3C">
      <w:pPr>
        <w:autoSpaceDE w:val="0"/>
        <w:autoSpaceDN w:val="0"/>
        <w:adjustRightInd w:val="0"/>
        <w:spacing w:line="240" w:lineRule="auto"/>
        <w:contextualSpacing/>
        <w:jc w:val="both"/>
        <w:rPr>
          <w:rFonts w:ascii="Times New Roman CYR" w:hAnsi="Times New Roman CYR" w:cs="Times New Roman CYR"/>
          <w:sz w:val="28"/>
          <w:szCs w:val="28"/>
        </w:rPr>
      </w:pPr>
      <w:r w:rsidRPr="00623F3C">
        <w:rPr>
          <w:rFonts w:ascii="Times New Roman CYR" w:hAnsi="Times New Roman CYR" w:cs="Times New Roman CYR"/>
          <w:iCs/>
          <w:sz w:val="28"/>
          <w:szCs w:val="28"/>
        </w:rPr>
        <w:t xml:space="preserve">-доходы от использования имущества </w:t>
      </w:r>
      <w:r w:rsidRPr="00623F3C">
        <w:rPr>
          <w:rFonts w:ascii="Times New Roman CYR" w:hAnsi="Times New Roman CYR" w:cs="Times New Roman CYR"/>
          <w:sz w:val="28"/>
          <w:szCs w:val="28"/>
        </w:rPr>
        <w:t xml:space="preserve">(23,4 % собственной доходной базы), </w:t>
      </w:r>
    </w:p>
    <w:p w:rsidR="00E179F9" w:rsidRPr="00623F3C" w:rsidRDefault="00E179F9" w:rsidP="00623F3C">
      <w:pPr>
        <w:autoSpaceDE w:val="0"/>
        <w:autoSpaceDN w:val="0"/>
        <w:adjustRightInd w:val="0"/>
        <w:spacing w:line="240" w:lineRule="auto"/>
        <w:contextualSpacing/>
        <w:jc w:val="both"/>
        <w:rPr>
          <w:rFonts w:ascii="Times New Roman CYR" w:hAnsi="Times New Roman CYR" w:cs="Times New Roman CYR"/>
          <w:sz w:val="28"/>
          <w:szCs w:val="28"/>
        </w:rPr>
      </w:pPr>
      <w:r w:rsidRPr="00623F3C">
        <w:rPr>
          <w:rFonts w:ascii="Times New Roman CYR" w:hAnsi="Times New Roman CYR" w:cs="Times New Roman CYR"/>
          <w:iCs/>
          <w:sz w:val="28"/>
          <w:szCs w:val="28"/>
        </w:rPr>
        <w:t>-единый налог на вмененный доход (</w:t>
      </w:r>
      <w:r w:rsidRPr="00623F3C">
        <w:rPr>
          <w:rFonts w:ascii="Times New Roman CYR" w:hAnsi="Times New Roman CYR" w:cs="Times New Roman CYR"/>
          <w:sz w:val="28"/>
          <w:szCs w:val="28"/>
        </w:rPr>
        <w:t>7,3% собственной доходной базы).</w:t>
      </w:r>
    </w:p>
    <w:p w:rsidR="00623F3C" w:rsidRDefault="00E179F9" w:rsidP="00623F3C">
      <w:pPr>
        <w:autoSpaceDE w:val="0"/>
        <w:autoSpaceDN w:val="0"/>
        <w:adjustRightInd w:val="0"/>
        <w:spacing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-прочие доходные источник</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госпошлина, налог на прибыль организации, единый сельскохозяйственный налог, платежи при пользовании природными ресурсами, штрафы, доходы от продажи и оказания платных услуг (около 14 % всех).</w:t>
      </w:r>
    </w:p>
    <w:p w:rsidR="00E179F9" w:rsidRDefault="00623F3C" w:rsidP="00623F3C">
      <w:pPr>
        <w:autoSpaceDE w:val="0"/>
        <w:autoSpaceDN w:val="0"/>
        <w:adjustRightInd w:val="0"/>
        <w:spacing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r>
      <w:r w:rsidR="00E179F9">
        <w:rPr>
          <w:rFonts w:ascii="Times New Roman CYR" w:hAnsi="Times New Roman CYR" w:cs="Times New Roman CYR"/>
          <w:sz w:val="28"/>
          <w:szCs w:val="28"/>
        </w:rPr>
        <w:t xml:space="preserve">Районный бюджет по расходам за 2016 года исполнен в сумме 461,9 млн. руб. или  96,5 % от утвержденного плана. </w:t>
      </w:r>
    </w:p>
    <w:p w:rsidR="00E179F9" w:rsidRDefault="00E179F9" w:rsidP="00623F3C">
      <w:pPr>
        <w:widowControl w:val="0"/>
        <w:autoSpaceDE w:val="0"/>
        <w:autoSpaceDN w:val="0"/>
        <w:adjustRightInd w:val="0"/>
        <w:spacing w:after="0" w:line="240" w:lineRule="auto"/>
        <w:jc w:val="both"/>
        <w:rPr>
          <w:rFonts w:ascii="Arial" w:hAnsi="Arial" w:cs="Arial"/>
          <w:sz w:val="16"/>
          <w:szCs w:val="16"/>
        </w:rPr>
      </w:pPr>
      <w:r>
        <w:rPr>
          <w:rFonts w:ascii="Times New Roman CYR" w:hAnsi="Times New Roman CYR" w:cs="Times New Roman CYR"/>
          <w:sz w:val="28"/>
          <w:szCs w:val="28"/>
        </w:rPr>
        <w:t xml:space="preserve">В течение 2016 года все указанные расходы осуществлялись в рамках 17 муниципальных программ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утвержденных в соответствии с требованиями бюджетного законодательства. </w:t>
      </w:r>
      <w:proofErr w:type="spellStart"/>
      <w:r>
        <w:rPr>
          <w:rFonts w:ascii="Times New Roman CYR" w:hAnsi="Times New Roman CYR" w:cs="Times New Roman CYR"/>
          <w:sz w:val="28"/>
          <w:szCs w:val="28"/>
        </w:rPr>
        <w:t>Непрограммные</w:t>
      </w:r>
      <w:proofErr w:type="spellEnd"/>
      <w:r>
        <w:rPr>
          <w:rFonts w:ascii="Times New Roman CYR" w:hAnsi="Times New Roman CYR" w:cs="Times New Roman CYR"/>
          <w:sz w:val="28"/>
          <w:szCs w:val="28"/>
        </w:rPr>
        <w:t xml:space="preserve"> расходы занимают 2,1 % плановых бюджетных назначений. </w:t>
      </w:r>
    </w:p>
    <w:p w:rsidR="00E179F9" w:rsidRDefault="00E179F9" w:rsidP="00623F3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179F9" w:rsidRDefault="00E179F9">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31. </w:t>
      </w:r>
      <w:r>
        <w:rPr>
          <w:rFonts w:ascii="Times New Roman CYR" w:hAnsi="Times New Roman CYR" w:cs="Times New Roman CYR"/>
          <w:b/>
          <w:bCs/>
          <w:color w:val="000000"/>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E179F9" w:rsidRDefault="00E179F9" w:rsidP="00623F3C">
      <w:pPr>
        <w:autoSpaceDE w:val="0"/>
        <w:autoSpaceDN w:val="0"/>
        <w:adjustRightInd w:val="0"/>
        <w:spacing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района (без учета субвенций) составила в 2016 году 11,06%, что выше уровня 2015 года на 0,92. В 2017 году рост показателя к уровню 2016 года составил 1,7, что связано с увеличением объема субвенций в общем объеме доходов (рост от исполнения 2016 г. на 6,8 млн. рублей) и запланированным незначительным ростом собственной доходной базы (166,4 тыс. рублей).</w:t>
      </w:r>
    </w:p>
    <w:p w:rsidR="00E179F9" w:rsidRDefault="00E179F9" w:rsidP="00623F3C">
      <w:pPr>
        <w:autoSpaceDE w:val="0"/>
        <w:autoSpaceDN w:val="0"/>
        <w:adjustRightInd w:val="0"/>
        <w:spacing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r>
      <w:proofErr w:type="gramStart"/>
      <w:r>
        <w:rPr>
          <w:rFonts w:ascii="Times New Roman CYR" w:hAnsi="Times New Roman CYR" w:cs="Times New Roman CYR"/>
          <w:sz w:val="28"/>
          <w:szCs w:val="28"/>
        </w:rPr>
        <w:t>Ожидаемое снижение показателя в 2018 и 2019 г.г. так же связано,  в первую очередь, с изменением объема субвенции в общем объеме доходов консолидированного бюджета района (снижение от запланированных субвенций на 2017 год составляет 3,1 млн. рублей), при этом объем налоговых и неналоговых доходов запланирован на 2018-2019 годы в объеме, не превышающем плановые значения 2017 года.</w:t>
      </w:r>
      <w:proofErr w:type="gramEnd"/>
    </w:p>
    <w:p w:rsidR="00623F3C" w:rsidRDefault="00623F3C" w:rsidP="00623F3C">
      <w:pPr>
        <w:autoSpaceDE w:val="0"/>
        <w:autoSpaceDN w:val="0"/>
        <w:adjustRightInd w:val="0"/>
        <w:spacing w:line="240" w:lineRule="auto"/>
        <w:contextualSpacing/>
        <w:jc w:val="both"/>
        <w:rPr>
          <w:rFonts w:ascii="Times New Roman CYR" w:hAnsi="Times New Roman CYR" w:cs="Times New Roman CYR"/>
          <w:sz w:val="28"/>
          <w:szCs w:val="28"/>
        </w:rPr>
      </w:pPr>
    </w:p>
    <w:p w:rsidR="00E179F9" w:rsidRDefault="00E179F9" w:rsidP="00623F3C">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32. </w:t>
      </w:r>
      <w:r>
        <w:rPr>
          <w:rFonts w:ascii="Times New Roman CYR" w:hAnsi="Times New Roman CYR" w:cs="Times New Roman CYR"/>
          <w:b/>
          <w:bCs/>
          <w:color w:val="000000"/>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E179F9" w:rsidRPr="00CB01C4" w:rsidRDefault="00E179F9" w:rsidP="00623F3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4"/>
          <w:szCs w:val="24"/>
        </w:rPr>
        <w:tab/>
      </w:r>
      <w:r>
        <w:rPr>
          <w:rFonts w:ascii="Times New Roman CYR" w:hAnsi="Times New Roman CYR" w:cs="Times New Roman CYR"/>
          <w:sz w:val="28"/>
          <w:szCs w:val="28"/>
        </w:rPr>
        <w:t xml:space="preserve">Организации муниципальной формы собственности, находящиеся в стадии банкротства, на территории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муниципального района отсутствуют.</w:t>
      </w:r>
    </w:p>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E179F9" w:rsidRDefault="00E179F9" w:rsidP="00623F3C">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33. </w:t>
      </w:r>
      <w:r>
        <w:rPr>
          <w:rFonts w:ascii="Times New Roman CYR" w:hAnsi="Times New Roman CYR" w:cs="Times New Roman CYR"/>
          <w:b/>
          <w:bCs/>
          <w:color w:val="000000"/>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p>
    <w:p w:rsidR="00E179F9" w:rsidRDefault="00E179F9" w:rsidP="00623F3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Не завершенного в установленные сроки строительства, осуществляемого за счет средств бюджета муниципального района на территории нет.</w:t>
      </w:r>
    </w:p>
    <w:p w:rsidR="00E179F9" w:rsidRDefault="00E179F9" w:rsidP="00623F3C">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34. </w:t>
      </w:r>
      <w:r>
        <w:rPr>
          <w:rFonts w:ascii="Times New Roman CYR" w:hAnsi="Times New Roman CYR" w:cs="Times New Roman CYR"/>
          <w:b/>
          <w:bCs/>
          <w:color w:val="000000"/>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E179F9" w:rsidRDefault="00E179F9" w:rsidP="00623F3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В 2016 году кредиторская задолженность у муниципальных учреждений района отсутствует. Задолженности по заработной плате перед работниками бюджетной сферы нет.</w:t>
      </w:r>
    </w:p>
    <w:p w:rsidR="00E179F9" w:rsidRDefault="00E179F9" w:rsidP="00623F3C">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35. </w:t>
      </w:r>
      <w:r>
        <w:rPr>
          <w:rFonts w:ascii="Times New Roman CYR" w:hAnsi="Times New Roman CYR" w:cs="Times New Roman CYR"/>
          <w:b/>
          <w:bCs/>
          <w:color w:val="000000"/>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E179F9" w:rsidRDefault="00E179F9" w:rsidP="00623F3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Расходы бюджета района на содержание работников органов местного самоуправления в расчете на одного жителя муниципального образования по итогам исполнения бюджета за 2016 год незначительно снизились в сравнении с исполнением за 2015 год на 27,05 рублей и составили 4615,13 рублей. </w:t>
      </w:r>
      <w:proofErr w:type="gramStart"/>
      <w:r>
        <w:rPr>
          <w:rFonts w:ascii="Times New Roman CYR" w:hAnsi="Times New Roman CYR" w:cs="Times New Roman CYR"/>
          <w:sz w:val="28"/>
          <w:szCs w:val="28"/>
        </w:rPr>
        <w:t>В соответствие с запланированными расходами на 2017 год плановый показатель увеличился на 68,05 рублей и составил 4683,18 руб. На 2018.г. в связи с ростом инфляции с одной стороны и снижением численности населения района с другой стороны этот показатель запланирован в объеме 4744,09  руб., на 2019 год  в объеме 4801,16 руб.</w:t>
      </w:r>
      <w:proofErr w:type="gramEnd"/>
    </w:p>
    <w:p w:rsidR="00E179F9" w:rsidRDefault="00E179F9" w:rsidP="00623F3C">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36. </w:t>
      </w:r>
      <w:r>
        <w:rPr>
          <w:rFonts w:ascii="Times New Roman CYR" w:hAnsi="Times New Roman CYR" w:cs="Times New Roman CYR"/>
          <w:b/>
          <w:bCs/>
          <w:color w:val="000000"/>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E179F9" w:rsidRPr="00CB01C4" w:rsidRDefault="00E179F9" w:rsidP="00623F3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ab/>
        <w:t>Схема</w:t>
      </w:r>
      <w:r w:rsidRPr="00CB01C4">
        <w:rPr>
          <w:rFonts w:ascii="Times New Roman" w:hAnsi="Times New Roman" w:cs="Times New Roman"/>
          <w:sz w:val="28"/>
          <w:szCs w:val="28"/>
        </w:rPr>
        <w:t xml:space="preserve"> </w:t>
      </w:r>
      <w:r>
        <w:rPr>
          <w:rFonts w:ascii="Times New Roman CYR" w:hAnsi="Times New Roman CYR" w:cs="Times New Roman CYR"/>
          <w:sz w:val="28"/>
          <w:szCs w:val="28"/>
        </w:rPr>
        <w:t>территориального</w:t>
      </w:r>
      <w:r w:rsidRPr="00CB01C4">
        <w:rPr>
          <w:rFonts w:ascii="Times New Roman" w:hAnsi="Times New Roman" w:cs="Times New Roman"/>
          <w:sz w:val="28"/>
          <w:szCs w:val="28"/>
        </w:rPr>
        <w:t xml:space="preserve"> </w:t>
      </w:r>
      <w:r>
        <w:rPr>
          <w:rFonts w:ascii="Times New Roman CYR" w:hAnsi="Times New Roman CYR" w:cs="Times New Roman CYR"/>
          <w:sz w:val="28"/>
          <w:szCs w:val="28"/>
        </w:rPr>
        <w:t>планирования</w:t>
      </w:r>
      <w:r w:rsidRPr="00CB01C4">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Боготольского</w:t>
      </w:r>
      <w:proofErr w:type="spellEnd"/>
      <w:r w:rsidRPr="00CB01C4">
        <w:rPr>
          <w:rFonts w:ascii="Times New Roman" w:hAnsi="Times New Roman" w:cs="Times New Roman"/>
          <w:sz w:val="28"/>
          <w:szCs w:val="28"/>
        </w:rPr>
        <w:t xml:space="preserve"> </w:t>
      </w:r>
      <w:r>
        <w:rPr>
          <w:rFonts w:ascii="Times New Roman CYR" w:hAnsi="Times New Roman CYR" w:cs="Times New Roman CYR"/>
          <w:sz w:val="28"/>
          <w:szCs w:val="28"/>
        </w:rPr>
        <w:t>района</w:t>
      </w:r>
      <w:r w:rsidRPr="00CB01C4">
        <w:rPr>
          <w:rFonts w:ascii="Times New Roman" w:hAnsi="Times New Roman" w:cs="Times New Roman"/>
          <w:sz w:val="28"/>
          <w:szCs w:val="28"/>
        </w:rPr>
        <w:t xml:space="preserve"> </w:t>
      </w:r>
      <w:r>
        <w:rPr>
          <w:rFonts w:ascii="Times New Roman CYR" w:hAnsi="Times New Roman CYR" w:cs="Times New Roman CYR"/>
          <w:sz w:val="28"/>
          <w:szCs w:val="28"/>
        </w:rPr>
        <w:t>утверждена</w:t>
      </w:r>
      <w:r w:rsidRPr="00CB01C4">
        <w:rPr>
          <w:rFonts w:ascii="Times New Roman" w:hAnsi="Times New Roman" w:cs="Times New Roman"/>
          <w:sz w:val="28"/>
          <w:szCs w:val="28"/>
        </w:rPr>
        <w:t xml:space="preserve"> </w:t>
      </w:r>
      <w:r>
        <w:rPr>
          <w:rFonts w:ascii="Times New Roman CYR" w:hAnsi="Times New Roman CYR" w:cs="Times New Roman CYR"/>
          <w:sz w:val="28"/>
          <w:szCs w:val="28"/>
        </w:rPr>
        <w:t>Решением</w:t>
      </w:r>
      <w:r w:rsidRPr="00CB01C4">
        <w:rPr>
          <w:rFonts w:ascii="Times New Roman" w:hAnsi="Times New Roman" w:cs="Times New Roman"/>
          <w:sz w:val="28"/>
          <w:szCs w:val="28"/>
        </w:rPr>
        <w:t xml:space="preserve"> </w:t>
      </w:r>
      <w:r>
        <w:rPr>
          <w:rFonts w:ascii="Times New Roman CYR" w:hAnsi="Times New Roman CYR" w:cs="Times New Roman CYR"/>
          <w:sz w:val="28"/>
          <w:szCs w:val="28"/>
        </w:rPr>
        <w:t>Совета</w:t>
      </w:r>
      <w:r w:rsidRPr="00CB01C4">
        <w:rPr>
          <w:rFonts w:ascii="Times New Roman" w:hAnsi="Times New Roman" w:cs="Times New Roman"/>
          <w:sz w:val="28"/>
          <w:szCs w:val="28"/>
        </w:rPr>
        <w:t xml:space="preserve"> </w:t>
      </w:r>
      <w:r>
        <w:rPr>
          <w:rFonts w:ascii="Times New Roman CYR" w:hAnsi="Times New Roman CYR" w:cs="Times New Roman CYR"/>
          <w:sz w:val="28"/>
          <w:szCs w:val="28"/>
        </w:rPr>
        <w:t>депутатов</w:t>
      </w:r>
      <w:r w:rsidRPr="00CB01C4">
        <w:rPr>
          <w:rFonts w:ascii="Times New Roman" w:hAnsi="Times New Roman" w:cs="Times New Roman"/>
          <w:sz w:val="28"/>
          <w:szCs w:val="28"/>
        </w:rPr>
        <w:t xml:space="preserve"> </w:t>
      </w:r>
      <w:r>
        <w:rPr>
          <w:rFonts w:ascii="Times New Roman CYR" w:hAnsi="Times New Roman CYR" w:cs="Times New Roman CYR"/>
          <w:sz w:val="28"/>
          <w:szCs w:val="28"/>
        </w:rPr>
        <w:t>от</w:t>
      </w:r>
      <w:r w:rsidRPr="00CB01C4">
        <w:rPr>
          <w:rFonts w:ascii="Times New Roman" w:hAnsi="Times New Roman" w:cs="Times New Roman"/>
          <w:sz w:val="28"/>
          <w:szCs w:val="28"/>
        </w:rPr>
        <w:t xml:space="preserve"> 05.10.2010</w:t>
      </w:r>
      <w:r>
        <w:rPr>
          <w:rFonts w:ascii="Times New Roman CYR" w:hAnsi="Times New Roman CYR" w:cs="Times New Roman CYR"/>
          <w:sz w:val="28"/>
          <w:szCs w:val="28"/>
        </w:rPr>
        <w:t>г</w:t>
      </w:r>
      <w:r w:rsidRPr="00CB01C4">
        <w:rPr>
          <w:rFonts w:ascii="Times New Roman" w:hAnsi="Times New Roman" w:cs="Times New Roman"/>
          <w:sz w:val="28"/>
          <w:szCs w:val="28"/>
        </w:rPr>
        <w:t>.</w:t>
      </w:r>
    </w:p>
    <w:p w:rsidR="00E179F9" w:rsidRPr="00CB01C4" w:rsidRDefault="00E179F9" w:rsidP="00623F3C">
      <w:pPr>
        <w:widowControl w:val="0"/>
        <w:autoSpaceDE w:val="0"/>
        <w:autoSpaceDN w:val="0"/>
        <w:adjustRightInd w:val="0"/>
        <w:spacing w:after="0" w:line="240" w:lineRule="auto"/>
        <w:jc w:val="both"/>
        <w:rPr>
          <w:rFonts w:ascii="Times New Roman" w:hAnsi="Times New Roman" w:cs="Times New Roman"/>
          <w:sz w:val="28"/>
          <w:szCs w:val="28"/>
        </w:rPr>
      </w:pPr>
      <w:r w:rsidRPr="00CB01C4">
        <w:rPr>
          <w:rFonts w:ascii="Times New Roman" w:hAnsi="Times New Roman" w:cs="Times New Roman"/>
          <w:sz w:val="28"/>
          <w:szCs w:val="28"/>
        </w:rPr>
        <w:t xml:space="preserve"> </w:t>
      </w:r>
      <w:r>
        <w:rPr>
          <w:rFonts w:ascii="Times New Roman CYR" w:hAnsi="Times New Roman CYR" w:cs="Times New Roman CYR"/>
          <w:sz w:val="28"/>
          <w:szCs w:val="28"/>
        </w:rPr>
        <w:t>№</w:t>
      </w:r>
      <w:r w:rsidRPr="00CB01C4">
        <w:rPr>
          <w:rFonts w:ascii="Times New Roman" w:hAnsi="Times New Roman" w:cs="Times New Roman"/>
          <w:sz w:val="28"/>
          <w:szCs w:val="28"/>
        </w:rPr>
        <w:t xml:space="preserve"> 6-26  .</w:t>
      </w:r>
    </w:p>
    <w:p w:rsidR="00E179F9" w:rsidRDefault="00E179F9" w:rsidP="00623F3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179F9" w:rsidRDefault="00E179F9" w:rsidP="00623F3C">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37. </w:t>
      </w:r>
      <w:r>
        <w:rPr>
          <w:rFonts w:ascii="Times New Roman CYR" w:hAnsi="Times New Roman CYR" w:cs="Times New Roman CYR"/>
          <w:b/>
          <w:bCs/>
          <w:color w:val="000000"/>
          <w:sz w:val="28"/>
          <w:szCs w:val="28"/>
        </w:rPr>
        <w:t>Удовлетворенность населения деятельностью местного самоуправления городского округа (муниципального района)</w:t>
      </w:r>
    </w:p>
    <w:p w:rsidR="00E179F9" w:rsidRPr="00CB01C4" w:rsidRDefault="00E179F9" w:rsidP="00623F3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ab/>
        <w:t xml:space="preserve">Уровень удовлетворенности населения деятельностью органов местного самоуправления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за 2016 год составил  57,4% (в 2015 г. 54,4%). Наиболее высокий процент удовлетворенности населения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достигнут в области общего и дополнительного образования (74,1% и </w:t>
      </w:r>
      <w:r>
        <w:rPr>
          <w:rFonts w:ascii="Times New Roman CYR" w:hAnsi="Times New Roman CYR" w:cs="Times New Roman CYR"/>
          <w:sz w:val="28"/>
          <w:szCs w:val="28"/>
        </w:rPr>
        <w:lastRenderedPageBreak/>
        <w:t>71,1%), а также в области культуры  (73,4%).</w:t>
      </w:r>
    </w:p>
    <w:p w:rsidR="00E179F9" w:rsidRDefault="00E179F9" w:rsidP="00623F3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179F9" w:rsidRDefault="00E179F9" w:rsidP="00623F3C">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38. </w:t>
      </w:r>
      <w:r>
        <w:rPr>
          <w:rFonts w:ascii="Times New Roman CYR" w:hAnsi="Times New Roman CYR" w:cs="Times New Roman CYR"/>
          <w:b/>
          <w:bCs/>
          <w:color w:val="000000"/>
          <w:sz w:val="28"/>
          <w:szCs w:val="28"/>
        </w:rPr>
        <w:t>Среднегодовая численность постоянного населения</w:t>
      </w:r>
    </w:p>
    <w:p w:rsidR="00E179F9" w:rsidRDefault="00E179F9" w:rsidP="00623F3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По сравнению с предыдущими годами сохраняется тенденция снижения населения, как за счет естественной убыли, так и за счет отрицательной динамики миграции населения. </w:t>
      </w:r>
    </w:p>
    <w:p w:rsidR="00E179F9" w:rsidRDefault="00E179F9" w:rsidP="00623F3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К 2019 году среднегодовая численность населения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составит 9725 человек, что на 389 </w:t>
      </w:r>
      <w:proofErr w:type="spellStart"/>
      <w:r>
        <w:rPr>
          <w:rFonts w:ascii="Times New Roman CYR" w:hAnsi="Times New Roman CYR" w:cs="Times New Roman CYR"/>
          <w:sz w:val="28"/>
          <w:szCs w:val="28"/>
        </w:rPr>
        <w:t>чел</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иже</w:t>
      </w:r>
      <w:proofErr w:type="spellEnd"/>
      <w:r>
        <w:rPr>
          <w:rFonts w:ascii="Times New Roman CYR" w:hAnsi="Times New Roman CYR" w:cs="Times New Roman CYR"/>
          <w:sz w:val="28"/>
          <w:szCs w:val="28"/>
        </w:rPr>
        <w:t xml:space="preserve"> уровня 2016 года.</w:t>
      </w:r>
    </w:p>
    <w:p w:rsidR="00E179F9" w:rsidRDefault="00E179F9" w:rsidP="0015338C">
      <w:pPr>
        <w:widowControl w:val="0"/>
        <w:autoSpaceDE w:val="0"/>
        <w:autoSpaceDN w:val="0"/>
        <w:adjustRightInd w:val="0"/>
        <w:spacing w:after="0" w:line="240" w:lineRule="auto"/>
        <w:contextualSpacing/>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23F3C">
        <w:rPr>
          <w:rFonts w:ascii="Times New Roman CYR" w:hAnsi="Times New Roman CYR" w:cs="Times New Roman CYR"/>
          <w:sz w:val="28"/>
          <w:szCs w:val="28"/>
        </w:rPr>
        <w:t xml:space="preserve">    </w:t>
      </w:r>
      <w:r>
        <w:rPr>
          <w:rFonts w:ascii="Times New Roman CYR" w:hAnsi="Times New Roman CYR" w:cs="Times New Roman CYR"/>
          <w:sz w:val="28"/>
          <w:szCs w:val="28"/>
        </w:rPr>
        <w:t>Среднегодовая численность населения                                                                                               (человек)</w:t>
      </w:r>
    </w:p>
    <w:tbl>
      <w:tblPr>
        <w:tblW w:w="0" w:type="auto"/>
        <w:tblInd w:w="93" w:type="dxa"/>
        <w:tblLayout w:type="fixed"/>
        <w:tblLook w:val="0000"/>
      </w:tblPr>
      <w:tblGrid>
        <w:gridCol w:w="610"/>
        <w:gridCol w:w="3091"/>
        <w:gridCol w:w="1134"/>
        <w:gridCol w:w="992"/>
        <w:gridCol w:w="992"/>
        <w:gridCol w:w="1102"/>
        <w:gridCol w:w="789"/>
      </w:tblGrid>
      <w:tr w:rsidR="00E179F9" w:rsidTr="00B518FF">
        <w:trPr>
          <w:trHeight w:val="780"/>
        </w:trPr>
        <w:tc>
          <w:tcPr>
            <w:tcW w:w="610"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tc>
        <w:tc>
          <w:tcPr>
            <w:tcW w:w="3091"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2015</w:t>
            </w:r>
          </w:p>
        </w:tc>
        <w:tc>
          <w:tcPr>
            <w:tcW w:w="99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2016</w:t>
            </w:r>
          </w:p>
        </w:tc>
        <w:tc>
          <w:tcPr>
            <w:tcW w:w="99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2017</w:t>
            </w:r>
            <w:r>
              <w:rPr>
                <w:rFonts w:ascii="Times New Roman CYR" w:hAnsi="Times New Roman CYR" w:cs="Times New Roman CYR"/>
                <w:b/>
                <w:bCs/>
                <w:sz w:val="28"/>
                <w:szCs w:val="28"/>
              </w:rPr>
              <w:br/>
              <w:t>прогноз</w:t>
            </w:r>
          </w:p>
        </w:tc>
        <w:tc>
          <w:tcPr>
            <w:tcW w:w="110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2018</w:t>
            </w:r>
            <w:r>
              <w:rPr>
                <w:rFonts w:ascii="Times New Roman CYR" w:hAnsi="Times New Roman CYR" w:cs="Times New Roman CYR"/>
                <w:b/>
                <w:bCs/>
                <w:sz w:val="28"/>
                <w:szCs w:val="28"/>
              </w:rPr>
              <w:br/>
              <w:t>прогноз</w:t>
            </w:r>
          </w:p>
        </w:tc>
        <w:tc>
          <w:tcPr>
            <w:tcW w:w="789"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2019</w:t>
            </w:r>
            <w:r>
              <w:rPr>
                <w:rFonts w:ascii="Times New Roman CYR" w:hAnsi="Times New Roman CYR" w:cs="Times New Roman CYR"/>
                <w:b/>
                <w:bCs/>
                <w:sz w:val="28"/>
                <w:szCs w:val="28"/>
              </w:rPr>
              <w:br/>
              <w:t>прогноз</w:t>
            </w:r>
          </w:p>
        </w:tc>
      </w:tr>
      <w:tr w:rsidR="00E179F9" w:rsidTr="00B518FF">
        <w:trPr>
          <w:trHeight w:val="510"/>
        </w:trPr>
        <w:tc>
          <w:tcPr>
            <w:tcW w:w="610"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3091"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Среднегодовая численность постоянного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10252</w:t>
            </w:r>
          </w:p>
        </w:tc>
        <w:tc>
          <w:tcPr>
            <w:tcW w:w="99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10114</w:t>
            </w:r>
          </w:p>
        </w:tc>
        <w:tc>
          <w:tcPr>
            <w:tcW w:w="99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9970</w:t>
            </w:r>
          </w:p>
        </w:tc>
        <w:tc>
          <w:tcPr>
            <w:tcW w:w="110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9842</w:t>
            </w:r>
          </w:p>
        </w:tc>
        <w:tc>
          <w:tcPr>
            <w:tcW w:w="789"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9725</w:t>
            </w:r>
          </w:p>
        </w:tc>
      </w:tr>
      <w:tr w:rsidR="00E179F9" w:rsidTr="00B518FF">
        <w:trPr>
          <w:trHeight w:val="540"/>
        </w:trPr>
        <w:tc>
          <w:tcPr>
            <w:tcW w:w="610"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w:t>
            </w:r>
          </w:p>
        </w:tc>
        <w:tc>
          <w:tcPr>
            <w:tcW w:w="3091"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Численность населения на начало года</w:t>
            </w:r>
          </w:p>
        </w:tc>
        <w:tc>
          <w:tcPr>
            <w:tcW w:w="1134"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10308</w:t>
            </w:r>
          </w:p>
        </w:tc>
        <w:tc>
          <w:tcPr>
            <w:tcW w:w="99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10195</w:t>
            </w:r>
          </w:p>
        </w:tc>
        <w:tc>
          <w:tcPr>
            <w:tcW w:w="99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10038</w:t>
            </w:r>
          </w:p>
        </w:tc>
        <w:tc>
          <w:tcPr>
            <w:tcW w:w="110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9902</w:t>
            </w:r>
          </w:p>
        </w:tc>
        <w:tc>
          <w:tcPr>
            <w:tcW w:w="789"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9782</w:t>
            </w:r>
          </w:p>
        </w:tc>
      </w:tr>
      <w:tr w:rsidR="00E179F9" w:rsidTr="00B518FF">
        <w:trPr>
          <w:trHeight w:val="360"/>
        </w:trPr>
        <w:tc>
          <w:tcPr>
            <w:tcW w:w="610"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w:t>
            </w:r>
          </w:p>
        </w:tc>
        <w:tc>
          <w:tcPr>
            <w:tcW w:w="3091"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w:t>
            </w:r>
            <w:proofErr w:type="gramStart"/>
            <w:r>
              <w:rPr>
                <w:rFonts w:ascii="Times New Roman CYR" w:hAnsi="Times New Roman CYR" w:cs="Times New Roman CYR"/>
                <w:sz w:val="28"/>
                <w:szCs w:val="28"/>
              </w:rPr>
              <w:t>родившихся</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122</w:t>
            </w:r>
          </w:p>
        </w:tc>
        <w:tc>
          <w:tcPr>
            <w:tcW w:w="99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110</w:t>
            </w:r>
          </w:p>
        </w:tc>
        <w:tc>
          <w:tcPr>
            <w:tcW w:w="99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108</w:t>
            </w:r>
          </w:p>
        </w:tc>
        <w:tc>
          <w:tcPr>
            <w:tcW w:w="110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105</w:t>
            </w:r>
          </w:p>
        </w:tc>
        <w:tc>
          <w:tcPr>
            <w:tcW w:w="789"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102</w:t>
            </w:r>
          </w:p>
        </w:tc>
      </w:tr>
      <w:tr w:rsidR="00E179F9" w:rsidTr="00B518FF">
        <w:trPr>
          <w:trHeight w:val="360"/>
        </w:trPr>
        <w:tc>
          <w:tcPr>
            <w:tcW w:w="610"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4</w:t>
            </w:r>
          </w:p>
        </w:tc>
        <w:tc>
          <w:tcPr>
            <w:tcW w:w="3091"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w:t>
            </w:r>
            <w:proofErr w:type="gramStart"/>
            <w:r>
              <w:rPr>
                <w:rFonts w:ascii="Times New Roman CYR" w:hAnsi="Times New Roman CYR" w:cs="Times New Roman CYR"/>
                <w:sz w:val="28"/>
                <w:szCs w:val="28"/>
              </w:rPr>
              <w:t>умерших</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185</w:t>
            </w:r>
          </w:p>
        </w:tc>
        <w:tc>
          <w:tcPr>
            <w:tcW w:w="99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166</w:t>
            </w:r>
          </w:p>
        </w:tc>
        <w:tc>
          <w:tcPr>
            <w:tcW w:w="99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146</w:t>
            </w:r>
          </w:p>
        </w:tc>
        <w:tc>
          <w:tcPr>
            <w:tcW w:w="110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135</w:t>
            </w:r>
          </w:p>
        </w:tc>
        <w:tc>
          <w:tcPr>
            <w:tcW w:w="789"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130</w:t>
            </w:r>
          </w:p>
        </w:tc>
      </w:tr>
      <w:tr w:rsidR="00E179F9" w:rsidTr="00B518FF">
        <w:trPr>
          <w:trHeight w:val="360"/>
        </w:trPr>
        <w:tc>
          <w:tcPr>
            <w:tcW w:w="610"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5</w:t>
            </w:r>
          </w:p>
        </w:tc>
        <w:tc>
          <w:tcPr>
            <w:tcW w:w="3091"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Естественный прирос</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+),убыль(-)</w:t>
            </w:r>
          </w:p>
        </w:tc>
        <w:tc>
          <w:tcPr>
            <w:tcW w:w="1134"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-63</w:t>
            </w:r>
          </w:p>
        </w:tc>
        <w:tc>
          <w:tcPr>
            <w:tcW w:w="99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-56</w:t>
            </w:r>
          </w:p>
        </w:tc>
        <w:tc>
          <w:tcPr>
            <w:tcW w:w="99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-38</w:t>
            </w:r>
          </w:p>
        </w:tc>
        <w:tc>
          <w:tcPr>
            <w:tcW w:w="110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-30</w:t>
            </w:r>
          </w:p>
        </w:tc>
        <w:tc>
          <w:tcPr>
            <w:tcW w:w="789"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-28</w:t>
            </w:r>
          </w:p>
        </w:tc>
      </w:tr>
      <w:tr w:rsidR="00E179F9" w:rsidTr="00B518FF">
        <w:trPr>
          <w:trHeight w:val="360"/>
        </w:trPr>
        <w:tc>
          <w:tcPr>
            <w:tcW w:w="610"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w:t>
            </w:r>
          </w:p>
        </w:tc>
        <w:tc>
          <w:tcPr>
            <w:tcW w:w="3091"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w:t>
            </w:r>
            <w:proofErr w:type="gramStart"/>
            <w:r>
              <w:rPr>
                <w:rFonts w:ascii="Times New Roman CYR" w:hAnsi="Times New Roman CYR" w:cs="Times New Roman CYR"/>
                <w:sz w:val="28"/>
                <w:szCs w:val="28"/>
              </w:rPr>
              <w:t>прибывших</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375</w:t>
            </w:r>
          </w:p>
        </w:tc>
        <w:tc>
          <w:tcPr>
            <w:tcW w:w="99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316</w:t>
            </w:r>
          </w:p>
        </w:tc>
        <w:tc>
          <w:tcPr>
            <w:tcW w:w="99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302</w:t>
            </w:r>
          </w:p>
        </w:tc>
        <w:tc>
          <w:tcPr>
            <w:tcW w:w="110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300</w:t>
            </w:r>
          </w:p>
        </w:tc>
        <w:tc>
          <w:tcPr>
            <w:tcW w:w="789"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298</w:t>
            </w:r>
          </w:p>
        </w:tc>
      </w:tr>
      <w:tr w:rsidR="00E179F9" w:rsidTr="00B518FF">
        <w:trPr>
          <w:trHeight w:val="360"/>
        </w:trPr>
        <w:tc>
          <w:tcPr>
            <w:tcW w:w="610"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7</w:t>
            </w:r>
          </w:p>
        </w:tc>
        <w:tc>
          <w:tcPr>
            <w:tcW w:w="3091"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w:t>
            </w:r>
            <w:proofErr w:type="gramStart"/>
            <w:r>
              <w:rPr>
                <w:rFonts w:ascii="Times New Roman CYR" w:hAnsi="Times New Roman CYR" w:cs="Times New Roman CYR"/>
                <w:sz w:val="28"/>
                <w:szCs w:val="28"/>
              </w:rPr>
              <w:t>убывших</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425</w:t>
            </w:r>
          </w:p>
        </w:tc>
        <w:tc>
          <w:tcPr>
            <w:tcW w:w="99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417</w:t>
            </w:r>
          </w:p>
        </w:tc>
        <w:tc>
          <w:tcPr>
            <w:tcW w:w="99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400</w:t>
            </w:r>
          </w:p>
        </w:tc>
        <w:tc>
          <w:tcPr>
            <w:tcW w:w="110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390</w:t>
            </w:r>
          </w:p>
        </w:tc>
        <w:tc>
          <w:tcPr>
            <w:tcW w:w="789"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385</w:t>
            </w:r>
          </w:p>
        </w:tc>
      </w:tr>
      <w:tr w:rsidR="00E179F9" w:rsidTr="00B518FF">
        <w:trPr>
          <w:trHeight w:val="360"/>
        </w:trPr>
        <w:tc>
          <w:tcPr>
            <w:tcW w:w="610"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8</w:t>
            </w:r>
          </w:p>
        </w:tc>
        <w:tc>
          <w:tcPr>
            <w:tcW w:w="3091"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Миграционный прирос</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+),убыль(-)</w:t>
            </w:r>
          </w:p>
        </w:tc>
        <w:tc>
          <w:tcPr>
            <w:tcW w:w="1134"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-50</w:t>
            </w:r>
          </w:p>
        </w:tc>
        <w:tc>
          <w:tcPr>
            <w:tcW w:w="99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-101</w:t>
            </w:r>
          </w:p>
        </w:tc>
        <w:tc>
          <w:tcPr>
            <w:tcW w:w="99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-98</w:t>
            </w:r>
          </w:p>
        </w:tc>
        <w:tc>
          <w:tcPr>
            <w:tcW w:w="1102"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-90</w:t>
            </w:r>
          </w:p>
        </w:tc>
        <w:tc>
          <w:tcPr>
            <w:tcW w:w="789" w:type="dxa"/>
            <w:tcBorders>
              <w:top w:val="single" w:sz="4" w:space="0" w:color="auto"/>
              <w:left w:val="single" w:sz="4" w:space="0" w:color="auto"/>
              <w:bottom w:val="single" w:sz="4" w:space="0" w:color="auto"/>
              <w:right w:val="single" w:sz="4" w:space="0" w:color="auto"/>
            </w:tcBorders>
            <w:vAlign w:val="center"/>
          </w:tcPr>
          <w:p w:rsidR="00E179F9" w:rsidRDefault="00E179F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-87</w:t>
            </w:r>
          </w:p>
        </w:tc>
      </w:tr>
    </w:tbl>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179F9" w:rsidRDefault="00E179F9">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IX. </w:t>
      </w:r>
      <w:r>
        <w:rPr>
          <w:rFonts w:ascii="Times New Roman CYR" w:hAnsi="Times New Roman CYR" w:cs="Times New Roman CYR"/>
          <w:b/>
          <w:bCs/>
          <w:color w:val="000000"/>
          <w:sz w:val="28"/>
          <w:szCs w:val="28"/>
        </w:rPr>
        <w:t>Энергосбережение и повышение энергетической эффективности</w:t>
      </w:r>
    </w:p>
    <w:p w:rsidR="00E179F9" w:rsidRDefault="00E179F9">
      <w:pPr>
        <w:widowControl w:val="0"/>
        <w:autoSpaceDE w:val="0"/>
        <w:autoSpaceDN w:val="0"/>
        <w:adjustRightInd w:val="0"/>
        <w:spacing w:after="0" w:line="240" w:lineRule="auto"/>
        <w:rPr>
          <w:rFonts w:ascii="Arial" w:hAnsi="Arial" w:cs="Arial"/>
          <w:sz w:val="16"/>
          <w:szCs w:val="16"/>
        </w:rPr>
      </w:pPr>
    </w:p>
    <w:p w:rsidR="00E179F9" w:rsidRDefault="00E179F9" w:rsidP="0015338C">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39. </w:t>
      </w:r>
      <w:r>
        <w:rPr>
          <w:rFonts w:ascii="Times New Roman CYR" w:hAnsi="Times New Roman CYR"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в многоквартирных домах</w:t>
      </w: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Удельная величина потребления энергетических ресурсов в многоквартирных домах составляет:</w:t>
      </w:r>
      <w:r>
        <w:rPr>
          <w:rFonts w:ascii="Times New Roman CYR" w:hAnsi="Times New Roman CYR" w:cs="Times New Roman CYR"/>
          <w:sz w:val="28"/>
          <w:szCs w:val="28"/>
        </w:rPr>
        <w:tab/>
      </w:r>
    </w:p>
    <w:p w:rsidR="0015338C" w:rsidRDefault="0015338C">
      <w:pPr>
        <w:autoSpaceDE w:val="0"/>
        <w:autoSpaceDN w:val="0"/>
        <w:adjustRightInd w:val="0"/>
        <w:spacing w:after="0" w:line="240" w:lineRule="auto"/>
        <w:jc w:val="both"/>
        <w:rPr>
          <w:rFonts w:ascii="Times New Roman CYR" w:hAnsi="Times New Roman CYR" w:cs="Times New Roman CYR"/>
          <w:sz w:val="28"/>
          <w:szCs w:val="28"/>
        </w:rPr>
      </w:pP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39.1. электрическая энергия – </w:t>
      </w:r>
      <w:proofErr w:type="gramStart"/>
      <w:r>
        <w:rPr>
          <w:rFonts w:ascii="Times New Roman CYR" w:hAnsi="Times New Roman CYR" w:cs="Times New Roman CYR"/>
          <w:sz w:val="28"/>
          <w:szCs w:val="28"/>
        </w:rPr>
        <w:t>согласно данных</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РусГидро</w:t>
      </w:r>
      <w:proofErr w:type="spellEnd"/>
      <w:r>
        <w:rPr>
          <w:rFonts w:ascii="Times New Roman CYR" w:hAnsi="Times New Roman CYR" w:cs="Times New Roman CYR"/>
          <w:sz w:val="28"/>
          <w:szCs w:val="28"/>
        </w:rPr>
        <w:t xml:space="preserve"> годовое потребление </w:t>
      </w:r>
      <w:proofErr w:type="spellStart"/>
      <w:r>
        <w:rPr>
          <w:rFonts w:ascii="Times New Roman CYR" w:hAnsi="Times New Roman CYR" w:cs="Times New Roman CYR"/>
          <w:sz w:val="28"/>
          <w:szCs w:val="28"/>
        </w:rPr>
        <w:t>элекроэнергии</w:t>
      </w:r>
      <w:proofErr w:type="spellEnd"/>
      <w:r>
        <w:rPr>
          <w:rFonts w:ascii="Times New Roman CYR" w:hAnsi="Times New Roman CYR" w:cs="Times New Roman CYR"/>
          <w:sz w:val="28"/>
          <w:szCs w:val="28"/>
        </w:rPr>
        <w:t xml:space="preserve"> в многоквартирных домах составило 668476 кВт, при количестве жителей 554 человека. Показатель увеличился по сравнению с 2015 годом в связи с тем, что жителям района не оказывается услуга по горячему водоснабжению, </w:t>
      </w:r>
      <w:r>
        <w:rPr>
          <w:rFonts w:ascii="Times New Roman CYR" w:hAnsi="Times New Roman CYR" w:cs="Times New Roman CYR"/>
          <w:sz w:val="28"/>
          <w:szCs w:val="28"/>
        </w:rPr>
        <w:lastRenderedPageBreak/>
        <w:t xml:space="preserve">подогрев воды производится индивидуальными водонагревателями, работающими от электрической энергии. При наступлении холодов при больших отрицательных температурах наружного воздуха зимой, а также в весенне-осенний период после окончания отопительного сезона и до начала нового отопительного сезона жителями используются электрические обогреватели для обогрева помещений. </w:t>
      </w:r>
    </w:p>
    <w:p w:rsidR="0015338C" w:rsidRDefault="0015338C">
      <w:pPr>
        <w:autoSpaceDE w:val="0"/>
        <w:autoSpaceDN w:val="0"/>
        <w:adjustRightInd w:val="0"/>
        <w:spacing w:after="0" w:line="240" w:lineRule="auto"/>
        <w:jc w:val="both"/>
        <w:rPr>
          <w:rFonts w:ascii="Times New Roman CYR" w:hAnsi="Times New Roman CYR" w:cs="Times New Roman CYR"/>
          <w:sz w:val="28"/>
          <w:szCs w:val="28"/>
        </w:rPr>
      </w:pP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39.2. тепловая энергия – </w:t>
      </w:r>
      <w:proofErr w:type="gramStart"/>
      <w:r>
        <w:rPr>
          <w:rFonts w:ascii="Times New Roman CYR" w:hAnsi="Times New Roman CYR" w:cs="Times New Roman CYR"/>
          <w:sz w:val="28"/>
          <w:szCs w:val="28"/>
        </w:rPr>
        <w:t>согласно данных</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ресурсоснабжающей</w:t>
      </w:r>
      <w:proofErr w:type="spellEnd"/>
      <w:r>
        <w:rPr>
          <w:rFonts w:ascii="Times New Roman CYR" w:hAnsi="Times New Roman CYR" w:cs="Times New Roman CYR"/>
          <w:sz w:val="28"/>
          <w:szCs w:val="28"/>
        </w:rPr>
        <w:t xml:space="preserve"> организации годовое потребление тепловой энергии в многоквартирных домах составило 2102 Гкал, площадь многоквартирных домов составляет 5520 кв.м., показатель увеличился по сравнению с 2015 годом в связи с увеличением нормативов потребления с 01.07.2016 г.;</w:t>
      </w:r>
    </w:p>
    <w:p w:rsidR="0015338C" w:rsidRDefault="0015338C">
      <w:pPr>
        <w:autoSpaceDE w:val="0"/>
        <w:autoSpaceDN w:val="0"/>
        <w:adjustRightInd w:val="0"/>
        <w:spacing w:after="0" w:line="240" w:lineRule="auto"/>
        <w:jc w:val="both"/>
        <w:rPr>
          <w:rFonts w:ascii="Times New Roman CYR" w:hAnsi="Times New Roman CYR" w:cs="Times New Roman CYR"/>
          <w:sz w:val="28"/>
          <w:szCs w:val="28"/>
        </w:rPr>
      </w:pPr>
    </w:p>
    <w:p w:rsidR="00E179F9" w:rsidRDefault="00E179F9">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39.3. горячее водоснабжение на территории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отсутствует;</w:t>
      </w: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39.4. холодная вода - годовое потребление холодной воды в многоквартирных домах составило 13676 куб.м., проживающих в МКД пользующихся услугами водоснабжения 368 чел., снижение показателя по сравнению с 2015 годом произошло вследствие установки индивидуальных счетчиков потребления воды населением.</w:t>
      </w:r>
    </w:p>
    <w:p w:rsidR="00E179F9" w:rsidRDefault="00E179F9">
      <w:pPr>
        <w:autoSpaceDE w:val="0"/>
        <w:autoSpaceDN w:val="0"/>
        <w:adjustRightInd w:val="0"/>
        <w:spacing w:line="240" w:lineRule="auto"/>
        <w:jc w:val="both"/>
        <w:rPr>
          <w:rFonts w:ascii="Times New Roman CYR" w:hAnsi="Times New Roman CYR" w:cs="Times New Roman CYR"/>
          <w:spacing w:val="2"/>
          <w:sz w:val="28"/>
          <w:szCs w:val="28"/>
          <w:highlight w:val="white"/>
        </w:rPr>
      </w:pPr>
      <w:r>
        <w:rPr>
          <w:rFonts w:ascii="Times New Roman CYR" w:hAnsi="Times New Roman CYR" w:cs="Times New Roman CYR"/>
          <w:sz w:val="28"/>
          <w:szCs w:val="28"/>
        </w:rPr>
        <w:t>3</w:t>
      </w:r>
      <w:r>
        <w:rPr>
          <w:rFonts w:ascii="Times New Roman CYR" w:hAnsi="Times New Roman CYR" w:cs="Times New Roman CYR"/>
          <w:spacing w:val="2"/>
          <w:sz w:val="28"/>
          <w:szCs w:val="28"/>
          <w:highlight w:val="white"/>
        </w:rPr>
        <w:t>9.5</w:t>
      </w:r>
      <w:r>
        <w:rPr>
          <w:rFonts w:ascii="Times New Roman CYR" w:hAnsi="Times New Roman CYR" w:cs="Times New Roman CYR"/>
          <w:b/>
          <w:bCs/>
          <w:spacing w:val="2"/>
          <w:sz w:val="28"/>
          <w:szCs w:val="28"/>
          <w:highlight w:val="white"/>
        </w:rPr>
        <w:t xml:space="preserve">  </w:t>
      </w:r>
      <w:r>
        <w:rPr>
          <w:rFonts w:ascii="Times New Roman CYR" w:hAnsi="Times New Roman CYR" w:cs="Times New Roman CYR"/>
          <w:spacing w:val="2"/>
          <w:sz w:val="28"/>
          <w:szCs w:val="28"/>
          <w:highlight w:val="white"/>
        </w:rPr>
        <w:t xml:space="preserve">на территории </w:t>
      </w:r>
      <w:proofErr w:type="spellStart"/>
      <w:r>
        <w:rPr>
          <w:rFonts w:ascii="Times New Roman CYR" w:hAnsi="Times New Roman CYR" w:cs="Times New Roman CYR"/>
          <w:spacing w:val="2"/>
          <w:sz w:val="28"/>
          <w:szCs w:val="28"/>
          <w:highlight w:val="white"/>
        </w:rPr>
        <w:t>Боготольского</w:t>
      </w:r>
      <w:proofErr w:type="spellEnd"/>
      <w:r>
        <w:rPr>
          <w:rFonts w:ascii="Times New Roman CYR" w:hAnsi="Times New Roman CYR" w:cs="Times New Roman CYR"/>
          <w:spacing w:val="2"/>
          <w:sz w:val="28"/>
          <w:szCs w:val="28"/>
          <w:highlight w:val="white"/>
        </w:rPr>
        <w:t xml:space="preserve"> района отсутствует потребление природного газа.</w:t>
      </w:r>
    </w:p>
    <w:p w:rsidR="00E179F9" w:rsidRDefault="00E179F9" w:rsidP="0015338C">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40. </w:t>
      </w:r>
      <w:r>
        <w:rPr>
          <w:rFonts w:ascii="Times New Roman CYR" w:hAnsi="Times New Roman CYR"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E179F9" w:rsidRDefault="00E179F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Удельная величина потребления энергетических ресурсов бюджетными учреждениями составляет:</w:t>
      </w:r>
      <w:r>
        <w:rPr>
          <w:rFonts w:ascii="Times New Roman CYR" w:hAnsi="Times New Roman CYR" w:cs="Times New Roman CYR"/>
          <w:sz w:val="28"/>
          <w:szCs w:val="28"/>
        </w:rPr>
        <w:tab/>
      </w: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40.1 электрическая энергия - </w:t>
      </w:r>
      <w:proofErr w:type="gramStart"/>
      <w:r>
        <w:rPr>
          <w:rFonts w:ascii="Times New Roman CYR" w:hAnsi="Times New Roman CYR" w:cs="Times New Roman CYR"/>
          <w:sz w:val="28"/>
          <w:szCs w:val="28"/>
        </w:rPr>
        <w:t>согласно данных</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РусГидро</w:t>
      </w:r>
      <w:proofErr w:type="spellEnd"/>
      <w:r>
        <w:rPr>
          <w:rFonts w:ascii="Times New Roman CYR" w:hAnsi="Times New Roman CYR" w:cs="Times New Roman CYR"/>
          <w:sz w:val="28"/>
          <w:szCs w:val="28"/>
        </w:rPr>
        <w:t xml:space="preserve"> годовое потребление </w:t>
      </w:r>
      <w:proofErr w:type="spellStart"/>
      <w:r>
        <w:rPr>
          <w:rFonts w:ascii="Times New Roman CYR" w:hAnsi="Times New Roman CYR" w:cs="Times New Roman CYR"/>
          <w:sz w:val="28"/>
          <w:szCs w:val="28"/>
        </w:rPr>
        <w:t>элекроэнергии</w:t>
      </w:r>
      <w:proofErr w:type="spellEnd"/>
      <w:r>
        <w:rPr>
          <w:rFonts w:ascii="Times New Roman CYR" w:hAnsi="Times New Roman CYR" w:cs="Times New Roman CYR"/>
          <w:sz w:val="28"/>
          <w:szCs w:val="28"/>
        </w:rPr>
        <w:t xml:space="preserve"> бюджетными учреждениями всех уровней составляет 4981389 кВт, население района составляет 10117 человек, увеличение показателя по сравнению с 2015 годом произошло в связи с увеличением нормативов потребления с 01.11.2016 г., снижения численности населения района, установкой дополнительных бытовых электроприборов, согласно предписаний надзорных органов;</w:t>
      </w: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40.2 тепловая энергия - </w:t>
      </w:r>
      <w:proofErr w:type="gramStart"/>
      <w:r>
        <w:rPr>
          <w:rFonts w:ascii="Times New Roman CYR" w:hAnsi="Times New Roman CYR" w:cs="Times New Roman CYR"/>
          <w:sz w:val="28"/>
          <w:szCs w:val="28"/>
        </w:rPr>
        <w:t>согласно данных</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ресурсоснабжающей</w:t>
      </w:r>
      <w:proofErr w:type="spellEnd"/>
      <w:r>
        <w:rPr>
          <w:rFonts w:ascii="Times New Roman CYR" w:hAnsi="Times New Roman CYR" w:cs="Times New Roman CYR"/>
          <w:sz w:val="28"/>
          <w:szCs w:val="28"/>
        </w:rPr>
        <w:t xml:space="preserve"> организации годовое потребление тепловой энергии бюджетными учреждениями района составило 5727,5 Гкал, площадь учреждений 39974,1 кв.м., </w:t>
      </w:r>
      <w:r w:rsidR="00527870">
        <w:rPr>
          <w:rFonts w:ascii="Times New Roman CYR" w:hAnsi="Times New Roman CYR" w:cs="Times New Roman CYR"/>
          <w:sz w:val="28"/>
          <w:szCs w:val="28"/>
        </w:rPr>
        <w:t xml:space="preserve">снижение </w:t>
      </w:r>
      <w:r>
        <w:rPr>
          <w:rFonts w:ascii="Times New Roman CYR" w:hAnsi="Times New Roman CYR" w:cs="Times New Roman CYR"/>
          <w:sz w:val="28"/>
          <w:szCs w:val="28"/>
        </w:rPr>
        <w:t>показателя по сравнению с 2015 годом произошло в связи с</w:t>
      </w:r>
      <w:r w:rsidR="00527870">
        <w:rPr>
          <w:rFonts w:ascii="Times New Roman CYR" w:hAnsi="Times New Roman CYR" w:cs="Times New Roman CYR"/>
          <w:sz w:val="28"/>
          <w:szCs w:val="28"/>
        </w:rPr>
        <w:t xml:space="preserve"> уменьшением</w:t>
      </w:r>
      <w:r>
        <w:rPr>
          <w:rFonts w:ascii="Times New Roman CYR" w:hAnsi="Times New Roman CYR" w:cs="Times New Roman CYR"/>
          <w:sz w:val="28"/>
          <w:szCs w:val="28"/>
        </w:rPr>
        <w:t xml:space="preserve"> потребления</w:t>
      </w:r>
      <w:r w:rsidR="00527870">
        <w:rPr>
          <w:rFonts w:ascii="Times New Roman CYR" w:hAnsi="Times New Roman CYR" w:cs="Times New Roman CYR"/>
          <w:sz w:val="28"/>
          <w:szCs w:val="28"/>
        </w:rPr>
        <w:t xml:space="preserve"> тепловой энергии учреждениями </w:t>
      </w:r>
      <w:r>
        <w:rPr>
          <w:rFonts w:ascii="Times New Roman CYR" w:hAnsi="Times New Roman CYR" w:cs="Times New Roman CYR"/>
          <w:sz w:val="28"/>
          <w:szCs w:val="28"/>
        </w:rPr>
        <w:t xml:space="preserve">и погодными условиями. </w:t>
      </w:r>
      <w:proofErr w:type="gramStart"/>
      <w:r>
        <w:rPr>
          <w:rFonts w:ascii="Times New Roman CYR" w:hAnsi="Times New Roman CYR" w:cs="Times New Roman CYR"/>
          <w:sz w:val="28"/>
          <w:szCs w:val="28"/>
        </w:rPr>
        <w:t>Согласно требований</w:t>
      </w:r>
      <w:proofErr w:type="gram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Федерального закона №261- ФЗ от 23.11.2009 г. муниципальные учреждения района не подлежат оснащению приборами учета тепловой энергии, потребление тепловой энергии в учреждениях производится по нормативам;</w:t>
      </w: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40.3  горячее водоснабжение на территории  </w:t>
      </w:r>
      <w:proofErr w:type="spellStart"/>
      <w:r>
        <w:rPr>
          <w:rFonts w:ascii="Times New Roman CYR" w:hAnsi="Times New Roman CYR" w:cs="Times New Roman CYR"/>
          <w:sz w:val="28"/>
          <w:szCs w:val="28"/>
        </w:rPr>
        <w:t>Боготольского</w:t>
      </w:r>
      <w:proofErr w:type="spellEnd"/>
      <w:r>
        <w:rPr>
          <w:rFonts w:ascii="Times New Roman CYR" w:hAnsi="Times New Roman CYR" w:cs="Times New Roman CYR"/>
          <w:sz w:val="28"/>
          <w:szCs w:val="28"/>
        </w:rPr>
        <w:t xml:space="preserve"> района отсутствует;</w:t>
      </w: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40.4 холодная вода - годовое потребление холодной воды бюджетными учреждениями составило 6523 куб.м., население района составляет 10117 человек, снижение показателя по сравнению с 2015 годом произошло в связи с установкой приборов учета холодной воды в учреждениях, установлением лимита потребления воды в бюджетных учреждениях на местном уровне;</w:t>
      </w:r>
    </w:p>
    <w:p w:rsidR="00E179F9" w:rsidRDefault="00E179F9">
      <w:pPr>
        <w:autoSpaceDE w:val="0"/>
        <w:autoSpaceDN w:val="0"/>
        <w:adjustRightInd w:val="0"/>
        <w:spacing w:after="0" w:line="240" w:lineRule="auto"/>
        <w:jc w:val="both"/>
        <w:rPr>
          <w:rFonts w:ascii="Times New Roman CYR" w:hAnsi="Times New Roman CYR" w:cs="Times New Roman CYR"/>
          <w:sz w:val="28"/>
          <w:szCs w:val="28"/>
        </w:rPr>
      </w:pPr>
    </w:p>
    <w:p w:rsidR="00E179F9" w:rsidRDefault="00E179F9" w:rsidP="0015338C">
      <w:pPr>
        <w:autoSpaceDE w:val="0"/>
        <w:autoSpaceDN w:val="0"/>
        <w:adjustRightInd w:val="0"/>
        <w:jc w:val="both"/>
        <w:rPr>
          <w:rFonts w:ascii="Arial" w:hAnsi="Arial" w:cs="Arial"/>
          <w:sz w:val="20"/>
          <w:szCs w:val="20"/>
        </w:rPr>
      </w:pPr>
      <w:r>
        <w:rPr>
          <w:rFonts w:ascii="Times New Roman CYR" w:hAnsi="Times New Roman CYR" w:cs="Times New Roman CYR"/>
          <w:sz w:val="28"/>
          <w:szCs w:val="28"/>
        </w:rPr>
        <w:t xml:space="preserve">40.5 </w:t>
      </w:r>
      <w:r>
        <w:rPr>
          <w:rFonts w:ascii="Times New Roman CYR" w:hAnsi="Times New Roman CYR" w:cs="Times New Roman CYR"/>
          <w:spacing w:val="2"/>
          <w:sz w:val="28"/>
          <w:szCs w:val="28"/>
          <w:highlight w:val="white"/>
        </w:rPr>
        <w:t xml:space="preserve">на территории </w:t>
      </w:r>
      <w:proofErr w:type="spellStart"/>
      <w:r>
        <w:rPr>
          <w:rFonts w:ascii="Times New Roman CYR" w:hAnsi="Times New Roman CYR" w:cs="Times New Roman CYR"/>
          <w:spacing w:val="2"/>
          <w:sz w:val="28"/>
          <w:szCs w:val="28"/>
          <w:highlight w:val="white"/>
        </w:rPr>
        <w:t>Боготольского</w:t>
      </w:r>
      <w:proofErr w:type="spellEnd"/>
      <w:r>
        <w:rPr>
          <w:rFonts w:ascii="Times New Roman CYR" w:hAnsi="Times New Roman CYR" w:cs="Times New Roman CYR"/>
          <w:spacing w:val="2"/>
          <w:sz w:val="28"/>
          <w:szCs w:val="28"/>
          <w:highlight w:val="white"/>
        </w:rPr>
        <w:t xml:space="preserve"> района отсутствует потребление природного газа.</w:t>
      </w:r>
      <w:r>
        <w:rPr>
          <w:rFonts w:ascii="Arial" w:hAnsi="Arial" w:cs="Arial"/>
          <w:sz w:val="20"/>
          <w:szCs w:val="20"/>
        </w:rPr>
        <w:t xml:space="preserve"> </w:t>
      </w:r>
    </w:p>
    <w:p w:rsidR="00E179F9" w:rsidRDefault="00E179F9">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X. </w:t>
      </w:r>
      <w:r>
        <w:rPr>
          <w:rFonts w:ascii="Times New Roman CYR" w:hAnsi="Times New Roman CYR" w:cs="Times New Roman CYR"/>
          <w:b/>
          <w:bCs/>
          <w:color w:val="000000"/>
          <w:sz w:val="28"/>
          <w:szCs w:val="28"/>
        </w:rPr>
        <w:t>Проблемы при формировании доклада</w:t>
      </w:r>
    </w:p>
    <w:p w:rsidR="00E179F9" w:rsidRDefault="00E179F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формировании доклада главы по оценке эффективности ОМСУ отмечены следующие проблемы:</w:t>
      </w:r>
    </w:p>
    <w:p w:rsidR="00E179F9" w:rsidRDefault="00E179F9">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отсутствие, либо недостоверность необходимой информации </w:t>
      </w:r>
      <w:r w:rsidR="0015338C">
        <w:rPr>
          <w:rFonts w:ascii="Times New Roman CYR" w:hAnsi="Times New Roman CYR" w:cs="Times New Roman CYR"/>
          <w:color w:val="000000"/>
          <w:sz w:val="28"/>
          <w:szCs w:val="28"/>
        </w:rPr>
        <w:t>по</w:t>
      </w:r>
      <w:r>
        <w:rPr>
          <w:rFonts w:ascii="Times New Roman CYR" w:hAnsi="Times New Roman CYR" w:cs="Times New Roman CYR"/>
          <w:color w:val="000000"/>
          <w:sz w:val="28"/>
          <w:szCs w:val="28"/>
        </w:rPr>
        <w:t xml:space="preserve"> субъектам малого предпринимательства</w:t>
      </w:r>
      <w:r w:rsidR="0015338C">
        <w:rPr>
          <w:rFonts w:ascii="Times New Roman CYR" w:hAnsi="Times New Roman CYR" w:cs="Times New Roman CYR"/>
          <w:color w:val="000000"/>
          <w:sz w:val="28"/>
          <w:szCs w:val="28"/>
        </w:rPr>
        <w:t>.</w:t>
      </w:r>
    </w:p>
    <w:p w:rsidR="00E179F9" w:rsidRDefault="00E179F9">
      <w:pPr>
        <w:widowControl w:val="0"/>
        <w:autoSpaceDE w:val="0"/>
        <w:autoSpaceDN w:val="0"/>
        <w:adjustRightInd w:val="0"/>
        <w:spacing w:after="0" w:line="240" w:lineRule="auto"/>
        <w:rPr>
          <w:rFonts w:ascii="Arial" w:hAnsi="Arial" w:cs="Arial"/>
          <w:sz w:val="16"/>
          <w:szCs w:val="16"/>
        </w:rPr>
      </w:pPr>
    </w:p>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179F9" w:rsidRDefault="00E179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sectPr w:rsidR="00E179F9" w:rsidSect="00F818B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15D6B"/>
    <w:multiLevelType w:val="hybridMultilevel"/>
    <w:tmpl w:val="61660D3E"/>
    <w:lvl w:ilvl="0" w:tplc="C98EEBAA">
      <w:start w:val="1"/>
      <w:numFmt w:val="upperRoman"/>
      <w:lvlText w:val="%1."/>
      <w:lvlJc w:val="left"/>
      <w:pPr>
        <w:ind w:left="795" w:hanging="720"/>
      </w:pPr>
      <w:rPr>
        <w:rFonts w:ascii="Times New Roman" w:hAnsi="Times New Roman"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B01C4"/>
    <w:rsid w:val="000455DF"/>
    <w:rsid w:val="0015338C"/>
    <w:rsid w:val="004571DC"/>
    <w:rsid w:val="00527870"/>
    <w:rsid w:val="00623F3C"/>
    <w:rsid w:val="009F7C6B"/>
    <w:rsid w:val="00B518FF"/>
    <w:rsid w:val="00CB01C4"/>
    <w:rsid w:val="00E179F9"/>
    <w:rsid w:val="00F81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8BC"/>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5614-671E-400A-94DA-2F83434A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6044</Words>
  <Characters>34453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Admin-01</dc:creator>
  <cp:lastModifiedBy>Admin-01</cp:lastModifiedBy>
  <cp:revision>5</cp:revision>
  <cp:lastPrinted>2017-04-26T01:54:00Z</cp:lastPrinted>
  <dcterms:created xsi:type="dcterms:W3CDTF">2017-04-26T07:43:00Z</dcterms:created>
  <dcterms:modified xsi:type="dcterms:W3CDTF">2017-04-27T09:33:00Z</dcterms:modified>
</cp:coreProperties>
</file>