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Default="008159E5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B83947" w:rsidRDefault="00B83947" w:rsidP="00B839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47" w:rsidRDefault="00B83947" w:rsidP="00B83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B83947" w:rsidRDefault="00B83947" w:rsidP="00B83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B83947" w:rsidRDefault="00B83947" w:rsidP="00B83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3947" w:rsidRDefault="00B83947" w:rsidP="00B83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83947" w:rsidRDefault="00B83947" w:rsidP="00B83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3947" w:rsidRDefault="00B83947" w:rsidP="00B8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г. Боготол</w:t>
      </w:r>
    </w:p>
    <w:p w:rsidR="00B83947" w:rsidRDefault="00B83947" w:rsidP="00B8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47" w:rsidRDefault="00B83947" w:rsidP="00B8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     »  июля 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       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B83947" w:rsidRDefault="00B83947" w:rsidP="00B8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47" w:rsidRDefault="00B83947" w:rsidP="00B8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от 09.10.2013  № 758-п «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>
          <w:rPr>
            <w:rStyle w:val="ab"/>
            <w:rFonts w:ascii="Arial" w:eastAsia="Calibri" w:hAnsi="Arial" w:cs="Arial"/>
            <w:sz w:val="24"/>
            <w:szCs w:val="24"/>
            <w:lang w:eastAsia="ru-RU"/>
          </w:rPr>
          <w:t>статьей 18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, их формировании и реализации»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ПОСТАНОВЛЯЮ:</w:t>
      </w: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от 09.10.2013 № 758-п «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 (далее – Постановление) следующие изменения:</w:t>
      </w:r>
    </w:p>
    <w:p w:rsidR="00B83947" w:rsidRDefault="00B83947" w:rsidP="00B83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Приложение к Постановлению изложить в редакции согласно приложению к настоящему постановлению.</w:t>
      </w:r>
    </w:p>
    <w:p w:rsidR="00B83947" w:rsidRDefault="00B83947" w:rsidP="00B839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Контроль над исполнением постановления </w:t>
      </w:r>
      <w:r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83947" w:rsidRDefault="00B83947" w:rsidP="00B839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B83947" w:rsidRDefault="00B83947" w:rsidP="00B83947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Постановление вступает в силу после </w:t>
      </w:r>
      <w:r>
        <w:rPr>
          <w:rFonts w:ascii="Arial" w:eastAsia="Calibri" w:hAnsi="Arial" w:cs="Arial"/>
          <w:sz w:val="24"/>
          <w:szCs w:val="24"/>
        </w:rPr>
        <w:t xml:space="preserve">его </w:t>
      </w:r>
      <w:r>
        <w:rPr>
          <w:rFonts w:ascii="Arial" w:eastAsia="Calibri" w:hAnsi="Arial" w:cs="Arial"/>
          <w:sz w:val="24"/>
          <w:szCs w:val="24"/>
        </w:rPr>
        <w:t xml:space="preserve">официального опубликования. </w:t>
      </w:r>
    </w:p>
    <w:p w:rsidR="00B83947" w:rsidRDefault="00B83947" w:rsidP="00B83947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3947" w:rsidRDefault="00B83947" w:rsidP="00B83947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3947" w:rsidRDefault="00B83947" w:rsidP="00B83947">
      <w:pPr>
        <w:tabs>
          <w:tab w:val="left" w:pos="7515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полномочия</w:t>
      </w:r>
    </w:p>
    <w:p w:rsidR="00B83947" w:rsidRDefault="00B83947" w:rsidP="00B83947">
      <w:pPr>
        <w:tabs>
          <w:tab w:val="left" w:pos="7515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ы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Н.В. </w:t>
      </w:r>
      <w:proofErr w:type="spellStart"/>
      <w:r>
        <w:rPr>
          <w:rFonts w:ascii="Arial" w:eastAsia="Calibri" w:hAnsi="Arial" w:cs="Arial"/>
          <w:sz w:val="24"/>
          <w:szCs w:val="24"/>
        </w:rPr>
        <w:t>Бакуневич</w:t>
      </w:r>
      <w:proofErr w:type="spellEnd"/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B8394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__</w:t>
      </w: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</w:t>
      </w:r>
      <w:r w:rsidR="00B8394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07</w:t>
      </w: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.20</w:t>
      </w:r>
      <w:r w:rsidR="00B8394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21</w:t>
      </w: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B8394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___</w:t>
      </w: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-</w:t>
      </w:r>
      <w:proofErr w:type="gramStart"/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7513B7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</w:rPr>
        <w:t>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9"/>
        <w:gridCol w:w="7376"/>
      </w:tblGrid>
      <w:tr w:rsidR="008258DE" w:rsidTr="008258DE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8258DE" w:rsidTr="008258DE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их формировании и реализации»;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отдел экономики и планирования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отдел муниципального имущества и земельных отношений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районе.</w:t>
            </w:r>
          </w:p>
          <w:p w:rsidR="008258DE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района.</w:t>
            </w:r>
          </w:p>
        </w:tc>
      </w:tr>
      <w:tr w:rsidR="008258DE" w:rsidTr="008258DE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и улучшение инвестиционного климата</w:t>
            </w:r>
          </w:p>
        </w:tc>
      </w:tr>
      <w:tr w:rsidR="008258DE" w:rsidTr="008258DE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8258DE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предпринимательства, единиц на 10000 человек населения.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8258DE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1.Количество субъектов малого и среднего предпринимательства, получивших </w:t>
            </w:r>
            <w:r w:rsidRPr="00E04A6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муниципальную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поддержку, единиц.</w:t>
            </w:r>
          </w:p>
          <w:p w:rsidR="008258DE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в секторе малого и среднего предпринимательства, единиц.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 </w:t>
            </w:r>
            <w:r w:rsidR="00E04A61" w:rsidRPr="00E04A61"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  <w:t>внебюджетных</w:t>
            </w:r>
            <w:r w:rsidR="00E04A6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инвестиций в секторе малого и среднего предпринимательства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 период реализации программы,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5" w:type="dxa"/>
              <w:tblLayout w:type="fixed"/>
              <w:tblLook w:val="04A0" w:firstRow="1" w:lastRow="0" w:firstColumn="1" w:lastColumn="0" w:noHBand="0" w:noVBand="1"/>
            </w:tblPr>
            <w:tblGrid>
              <w:gridCol w:w="7965"/>
            </w:tblGrid>
            <w:tr w:rsidR="008258DE">
              <w:trPr>
                <w:trHeight w:val="226"/>
              </w:trPr>
              <w:tc>
                <w:tcPr>
                  <w:tcW w:w="7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подпрограммах  муниципальной программы.</w:t>
            </w:r>
          </w:p>
        </w:tc>
      </w:tr>
      <w:tr w:rsidR="008258DE" w:rsidTr="008258DE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8258DE" w:rsidRDefault="00E04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4A61">
              <w:rPr>
                <w:rFonts w:ascii="Arial" w:eastAsia="Calibri" w:hAnsi="Arial" w:cs="Arial"/>
                <w:bCs/>
                <w:sz w:val="24"/>
                <w:szCs w:val="24"/>
                <w:highlight w:val="yellow"/>
                <w:lang w:eastAsia="ru-RU"/>
              </w:rPr>
              <w:t>39 787 ,78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258DE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4 596,30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1 390,00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E04A61"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11 026,00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890,00 тыс. рублей.</w:t>
            </w:r>
          </w:p>
          <w:p w:rsidR="00E04A61" w:rsidRDefault="00E04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2021 год -  10 526,00 </w:t>
            </w:r>
            <w:proofErr w:type="spellStart"/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тыс</w:t>
            </w:r>
            <w:proofErr w:type="gramStart"/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.р</w:t>
            </w:r>
            <w:proofErr w:type="gramEnd"/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ублей</w:t>
            </w:r>
            <w:proofErr w:type="spellEnd"/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.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526,52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</w:p>
    <w:p w:rsidR="008258DE" w:rsidRDefault="008258DE" w:rsidP="008258DE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8258DE" w:rsidRDefault="008258DE" w:rsidP="008258DE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4 кафе, из них три кафе расположено на автотрассе «Байкал» и одно кафе - в населённом пункте.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2020 года количество субъектов малого и среднего предпринимательства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108 ед., в том числе: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– 1;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(включая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 – 15;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76;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16.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Численность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84 человека. Доля налогов, уплаченных субъектами малого и среднего предпринимательства в 2019 году, в общем объеме налоговых поступлений в местный бюджет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составила 4,1 %.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(юридических лиц) (производство товаров, работ, услуг за 2019 год составил 516,5 млн. рублей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2018 г. оборот вырос на 0,1%)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труда в районе показывает еще достаточно высокий уровень безработицы,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 г. –1,3 %. Остро стоит проблема занятости молодежи на селе. Более 15% от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19,5% от общей </w:t>
      </w:r>
      <w:proofErr w:type="gram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  2018, 2019 годах Центром занятости населения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предоставлена субсидия на создание собственного дела 28 гражданам района в различных сферах деятельности, (плановый показатель на 2020 год - 27):</w:t>
      </w:r>
      <w:proofErr w:type="gramEnd"/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изучение вопросов связанных с развитием малого и среднего предпринимательства в районе;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вопросы содействия развитию конкуренции 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районе, 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вопросам малого и среднего предпринимательства;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Общий объем финансирования на поддержку малого и среднего предпринимательства в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районе за период 2012-2019 годы за счет всех источников финансирования составил 32 458,1 тыс. руб.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0"/>
        <w:gridCol w:w="849"/>
        <w:gridCol w:w="851"/>
        <w:gridCol w:w="850"/>
        <w:gridCol w:w="851"/>
        <w:gridCol w:w="993"/>
        <w:gridCol w:w="850"/>
        <w:gridCol w:w="992"/>
        <w:gridCol w:w="1134"/>
      </w:tblGrid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2994,2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19802,9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32458,1</w:t>
            </w:r>
          </w:p>
        </w:tc>
      </w:tr>
    </w:tbl>
    <w:p w:rsidR="008258DE" w:rsidRDefault="008258DE" w:rsidP="008258DE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8258DE" w:rsidRDefault="008258DE" w:rsidP="008258DE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2018-2019 годы</w:t>
      </w: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73"/>
        <w:gridCol w:w="1275"/>
        <w:gridCol w:w="1276"/>
        <w:gridCol w:w="1276"/>
        <w:gridCol w:w="1276"/>
      </w:tblGrid>
      <w:tr w:rsidR="008258DE" w:rsidTr="008258DE">
        <w:trPr>
          <w:trHeight w:val="14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2019 г к 2018 г.(%)</w:t>
            </w:r>
          </w:p>
        </w:tc>
      </w:tr>
      <w:tr w:rsidR="008258DE" w:rsidTr="008258DE">
        <w:trPr>
          <w:trHeight w:val="7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33,6 раза</w:t>
            </w:r>
          </w:p>
        </w:tc>
      </w:tr>
      <w:tr w:rsidR="008258DE" w:rsidTr="008258DE">
        <w:trPr>
          <w:trHeight w:val="5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97,99</w:t>
            </w:r>
          </w:p>
        </w:tc>
      </w:tr>
      <w:tr w:rsidR="008258DE" w:rsidTr="008258DE">
        <w:trPr>
          <w:trHeight w:val="509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516 547,0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8258DE" w:rsidTr="008258DE">
        <w:trPr>
          <w:trHeight w:val="82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8258DE" w:rsidTr="008258DE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8258DE" w:rsidTr="008258DE">
        <w:trPr>
          <w:trHeight w:val="62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8258DE" w:rsidTr="008258DE">
        <w:trPr>
          <w:trHeight w:val="10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202,00</w:t>
            </w:r>
          </w:p>
        </w:tc>
      </w:tr>
      <w:tr w:rsidR="008258DE" w:rsidTr="008258DE">
        <w:trPr>
          <w:trHeight w:val="1075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</w:tbl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</w:t>
      </w:r>
      <w:proofErr w:type="spellStart"/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 В последние годы 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-НПС "Каштан") на обслуживание и модернизацию линии нефтепровода, проходящего по территории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</w:t>
      </w:r>
      <w:r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Общественный совет по улучшению инвестиционного климата в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с помощью активной информационной работы 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Приоритеты, цель, задачи программы</w:t>
      </w:r>
    </w:p>
    <w:p w:rsidR="008258DE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районе. Стимулирование граждан к осуществлению предпринимательской деятельности.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Улучшение инвестиционного климата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обуславливающего приток инвестиций в экономику района.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улучшение инвестиционного климата.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>
        <w:rPr>
          <w:rFonts w:ascii="Arial" w:hAnsi="Arial" w:cs="Arial"/>
          <w:sz w:val="24"/>
          <w:szCs w:val="24"/>
        </w:rPr>
        <w:t>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Привлечение инвестиций на территорию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8258DE" w:rsidRDefault="008258DE" w:rsidP="008258DE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Количество субъектов малого и среднего предпринимательства, получивших муниципальную поддержку за период реализации</w:t>
      </w:r>
      <w:r w:rsidR="00E04A6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r w:rsidR="00E04A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(нарастающим итогом)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 (нарастающим итогом), не менее 21 единиц;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района, (нарастающим итогом) – не менее 47 единиц.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r:id="rId11" w:anchor="P4332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Подпрограмма 2) обусловлена необходимостью повышения инвестиционной активности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r:id="rId12" w:anchor="P849" w:history="1">
        <w:proofErr w:type="gramStart"/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</w:t>
        </w:r>
        <w:proofErr w:type="spellStart"/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Боготольском</w:t>
        </w:r>
        <w:proofErr w:type="spellEnd"/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 районе" (далее - Подпрограмма 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3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на период 2011 - 2013 годы», утвержденной Постановлением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11.02.2011 №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r:id="rId14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2014 - 2019 годах направлено 25,336 млн. рублей, в том числе в 2014 году – 8,0 млн. рублей, в 2015 году – 6,9 млн. рублей, в 2016 году – 3,4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2017 году-2,3 млн. рублей, в 2018 году – 0,136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- 4,6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Дополнительно на реализацию программы в 2014 - 2019 годах было привлечено 13,6  млн. рублей за счет сре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2014 - 2019 годы в форме субсидий предоставлена 37 субъектам малого и среднего предпринимательства района.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r:id="rId15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101"/>
      </w:tblGrid>
      <w:tr w:rsidR="008258DE" w:rsidTr="008258DE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8258DE" w:rsidTr="008258DE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8258DE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8258DE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8258DE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8258DE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5.1.3. Целью </w:t>
      </w:r>
      <w:hyperlink r:id="rId16" w:anchor="P849" w:history="1">
        <w:r>
          <w:rPr>
            <w:rStyle w:val="ab"/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r:id="rId17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r:id="rId18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: 2021 - 2023 годы.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Объем привлеченных </w:t>
      </w:r>
      <w:r w:rsidR="00E04A61" w:rsidRPr="00E04A6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внебюджетных</w:t>
      </w:r>
      <w:r w:rsidR="00E04A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Default="00E04A61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anchor="P849" w:history="1">
        <w:r w:rsidR="008258DE"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8258DE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и поддержка субъектов малого и среднего предпринимательства" приведена в приложении </w:t>
      </w:r>
      <w:r w:rsidR="008258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</w:t>
      </w:r>
      <w:r w:rsidR="008258DE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8258DE" w:rsidRDefault="008258DE" w:rsidP="008258DE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r:id="rId20" w:anchor="P4332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Боготольскому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2013-2019 годы</w:t>
      </w:r>
    </w:p>
    <w:p w:rsidR="008258DE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63" w:type="dxa"/>
        <w:tblInd w:w="108" w:type="dxa"/>
        <w:tblLook w:val="04A0" w:firstRow="1" w:lastRow="0" w:firstColumn="1" w:lastColumn="0" w:noHBand="0" w:noVBand="1"/>
      </w:tblPr>
      <w:tblGrid>
        <w:gridCol w:w="1863"/>
        <w:gridCol w:w="1063"/>
        <w:gridCol w:w="1002"/>
        <w:gridCol w:w="1093"/>
        <w:gridCol w:w="1067"/>
        <w:gridCol w:w="1051"/>
        <w:gridCol w:w="1162"/>
        <w:gridCol w:w="1162"/>
      </w:tblGrid>
      <w:tr w:rsidR="008258DE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</w:tr>
      <w:tr w:rsidR="008258DE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54886,40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22272,80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lastRenderedPageBreak/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5.2.2. Целью Подпрограммы 2 является привлечение инвестиций на территорию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2: 2021 - 2023 годы.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:rsidR="008258DE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 Количество публикаций об инвестиционных возможностях, не менее 21 единиц.</w:t>
      </w:r>
    </w:p>
    <w:p w:rsidR="008258DE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47 единиц.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E04A61" w:rsidRPr="00E04A61">
        <w:rPr>
          <w:rFonts w:ascii="Arial" w:eastAsia="Calibri" w:hAnsi="Arial" w:cs="Arial"/>
          <w:bCs/>
          <w:color w:val="000000" w:themeColor="text1"/>
          <w:sz w:val="24"/>
          <w:szCs w:val="24"/>
          <w:highlight w:val="yellow"/>
          <w:lang w:eastAsia="ru-RU"/>
        </w:rPr>
        <w:t>39 787,78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1 390,00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2021 год – </w:t>
      </w:r>
      <w:r w:rsidR="00E04A61" w:rsidRPr="00E04A61">
        <w:rPr>
          <w:rFonts w:ascii="Arial" w:eastAsia="Calibri" w:hAnsi="Arial" w:cs="Arial"/>
          <w:sz w:val="24"/>
          <w:szCs w:val="24"/>
          <w:highlight w:val="yellow"/>
        </w:rPr>
        <w:t>11 026,00</w:t>
      </w:r>
      <w:r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2022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2023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том числе: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2018 год – 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8258DE" w:rsidRDefault="00E04A61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:rsidR="00E04A61" w:rsidRDefault="00E04A61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4A61">
        <w:rPr>
          <w:rFonts w:ascii="Arial" w:eastAsia="Calibri" w:hAnsi="Arial" w:cs="Arial"/>
          <w:sz w:val="24"/>
          <w:szCs w:val="24"/>
          <w:highlight w:val="yellow"/>
        </w:rPr>
        <w:t>2021 год – 10 526, 00 тыс. рублей.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2015 год – 570,50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2022 год - 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2023 год - 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территорий, в программе</w:t>
      </w:r>
      <w:r w:rsidR="00E04A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headerReference w:type="default" r:id="rId21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271"/>
        <w:gridCol w:w="852"/>
        <w:gridCol w:w="851"/>
        <w:gridCol w:w="852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8258DE" w:rsidTr="008258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gramEnd"/>
            <w:r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8258DE" w:rsidTr="008258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2030 год</w:t>
            </w:r>
          </w:p>
        </w:tc>
      </w:tr>
      <w:tr w:rsidR="008258DE" w:rsidTr="008258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2506"/>
        <w:gridCol w:w="2788"/>
        <w:gridCol w:w="625"/>
        <w:gridCol w:w="850"/>
        <w:gridCol w:w="1417"/>
        <w:gridCol w:w="850"/>
        <w:gridCol w:w="1134"/>
        <w:gridCol w:w="993"/>
        <w:gridCol w:w="992"/>
        <w:gridCol w:w="1255"/>
      </w:tblGrid>
      <w:tr w:rsidR="008258DE" w:rsidTr="008258DE">
        <w:trPr>
          <w:trHeight w:val="508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13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E04A61" w:rsidRDefault="00E04A61" w:rsidP="00E04A61">
            <w:pPr>
              <w:ind w:left="-14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</w:t>
            </w:r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026</w:t>
            </w:r>
            <w:r w:rsidR="008258DE"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2D4F32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E04A61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2D4F32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E04A61" w:rsidRDefault="00E04A61" w:rsidP="00E04A61">
            <w:pPr>
              <w:ind w:left="-142" w:right="-74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</w:t>
            </w:r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026</w:t>
            </w:r>
            <w:r w:rsidR="008258DE"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 </w:t>
            </w:r>
            <w:r w:rsidR="008258DE"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2D4F32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E04A61" w:rsidP="00E04A61">
            <w:pPr>
              <w:ind w:left="-142"/>
              <w:rPr>
                <w:rFonts w:ascii="Arial" w:eastAsia="Calibri" w:hAnsi="Arial" w:cs="Arial"/>
                <w:sz w:val="24"/>
                <w:szCs w:val="24"/>
              </w:rPr>
            </w:pPr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</w:t>
            </w:r>
            <w:r>
              <w:rPr>
                <w:rFonts w:ascii="Arial" w:eastAsia="Calibri" w:hAnsi="Arial" w:cs="Arial"/>
                <w:sz w:val="24"/>
                <w:szCs w:val="24"/>
                <w:highlight w:val="yellow"/>
              </w:rPr>
              <w:t>026,</w:t>
            </w:r>
            <w:r w:rsidRPr="00E04A6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2D4F32" w:rsidRDefault="00E04A61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Pr="002D4F32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42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11026,</w:t>
            </w:r>
            <w:r w:rsidR="00E04A61"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Pr="002D4F32" w:rsidRDefault="002D4F32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8258DE" w:rsidTr="008258DE">
        <w:trPr>
          <w:trHeight w:val="2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8258DE" w:rsidTr="008258DE">
        <w:trPr>
          <w:trHeight w:val="1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11026,00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10526,00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10526,00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11026,00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10526,00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2D4F32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10526,00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D4F32">
            <w:pPr>
              <w:ind w:lef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деятельности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Подпрограмма 1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Default="008258DE" w:rsidP="008258D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малого  и среднего предпринимательства в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районе (далее – подпрограмма)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2021-2023г.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D4F32" w:rsidRPr="002D4F3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12026,00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2D4F32" w:rsidRPr="0023660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11026</w:t>
            </w:r>
            <w:r w:rsidRPr="0023660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,00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 - 500,00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 - 500,00 тыс. рублей.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"Информационное обеспечение" - информирование жителей района о действующих мерах поддержки бизнеса и условиях ее предоставления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ведения бизнеса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 - 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8258DE" w:rsidRDefault="008258DE" w:rsidP="00825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Default="008258DE" w:rsidP="008258DE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Постановлением администрации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»(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постановления от </w:t>
      </w:r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12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.</w:t>
      </w:r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05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.202</w:t>
      </w:r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1 № 190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-п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:rsidR="008258DE" w:rsidRDefault="008258DE" w:rsidP="008258DE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Субсидия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Постановлениями администрации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 (в ред. постановления от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24.06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.202</w:t>
      </w:r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1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 xml:space="preserve"> № </w:t>
      </w:r>
      <w:r w:rsidR="00236601"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264</w:t>
      </w:r>
      <w:r w:rsidRPr="00236601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-п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).</w:t>
      </w:r>
      <w:proofErr w:type="gramEnd"/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4.Мероприятие "Одно окно".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Центр содействия малому и (или) среднему предпринимательству осуществляет работу согласно постановления администрации района от 24.07.2009 № 233-п «О создании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11.06.2015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работающего по принципу «одно окно», а также прочие расходы, связанные с работой центра.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02.07.2009 № 211-п (далее - Перечень).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 и в случаях, указанных в подпунктах 6, 8 и 9 пункта 2 статьи 39.3 Земельного кодекса Российской Федерации.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hyperlink r:id="rId22" w:history="1"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утвержден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29.04.2020г.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>
        <w:rPr>
          <w:rFonts w:ascii="Arial" w:eastAsia="Calibri" w:hAnsi="Arial" w:cs="Arial"/>
          <w:sz w:val="24"/>
          <w:szCs w:val="24"/>
        </w:rPr>
        <w:t>ц(</w:t>
      </w:r>
      <w:proofErr w:type="gramEnd"/>
      <w:r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ОК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</w:t>
      </w:r>
      <w:proofErr w:type="spellStart"/>
      <w:r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31.01.2014 № 14-ст;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ОК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</w:t>
      </w:r>
      <w:proofErr w:type="spellStart"/>
      <w:r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31.01.2014 № 14-ст, услуги: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</w:t>
      </w:r>
      <w:proofErr w:type="gramStart"/>
      <w:r>
        <w:rPr>
          <w:rFonts w:ascii="Arial" w:eastAsia="Calibri" w:hAnsi="Arial" w:cs="Arial"/>
          <w:sz w:val="24"/>
          <w:szCs w:val="24"/>
        </w:rPr>
        <w:t>с даты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 расчете платы за аренду объектов муниципального имущества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58DE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 мероприятию, указанному в пункте 7 раздела 2 «Мероприятия подпрограммы» подпрограммы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осуществляет</w:t>
      </w:r>
      <w:r>
        <w:rPr>
          <w:rFonts w:ascii="Arial" w:eastAsia="Calibri" w:hAnsi="Arial" w:cs="Arial"/>
          <w:sz w:val="24"/>
          <w:szCs w:val="24"/>
        </w:rPr>
        <w:t>отдел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подпрограммы, использование бюджетных средств, выделяемых на выполнение мероприятий;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58DE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</w:t>
      </w:r>
      <w:r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Администрация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</w:t>
      </w:r>
      <w:r w:rsidR="0023660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>
        <w:rPr>
          <w:rFonts w:ascii="Arial" w:eastAsia="Calibri" w:hAnsi="Arial" w:cs="Arial"/>
          <w:sz w:val="24"/>
          <w:szCs w:val="24"/>
        </w:rPr>
        <w:t>приложениям № 8 - 11 к Порядку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15" w:type="dxa"/>
        <w:tblLayout w:type="fixed"/>
        <w:tblLook w:val="04A0" w:firstRow="1" w:lastRow="0" w:firstColumn="1" w:lastColumn="0" w:noHBand="0" w:noVBand="1"/>
      </w:tblPr>
      <w:tblGrid>
        <w:gridCol w:w="675"/>
        <w:gridCol w:w="4822"/>
        <w:gridCol w:w="1134"/>
        <w:gridCol w:w="2695"/>
        <w:gridCol w:w="1418"/>
        <w:gridCol w:w="1702"/>
        <w:gridCol w:w="1277"/>
        <w:gridCol w:w="992"/>
      </w:tblGrid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8258DE" w:rsidTr="008258D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</w:t>
            </w:r>
            <w:r w:rsidR="00236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2</w:t>
      </w: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и поддержка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малого и среднего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8258DE" w:rsidTr="008258DE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8258DE" w:rsidTr="008258DE">
        <w:trPr>
          <w:trHeight w:val="110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2021-2023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Создание благоприятных условий для устойчивого развития малого и среднего предпринимательства 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236601" w:rsidP="00236601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60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11026, 00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236601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236601" w:rsidRPr="00236601">
              <w:rPr>
                <w:rFonts w:ascii="Arial" w:eastAsia="Times New Roman" w:hAnsi="Arial" w:cs="Arial"/>
                <w:noProof/>
                <w:sz w:val="24"/>
                <w:szCs w:val="24"/>
                <w:highlight w:val="yellow"/>
                <w:lang w:eastAsia="ru-RU"/>
              </w:rPr>
              <w:t>1202</w:t>
            </w:r>
            <w:r w:rsidR="0023660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B8394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4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10907,1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B8394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4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11669,3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B83947" w:rsidP="00B8394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4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10807,1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B8394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4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11369,3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района, работающего по принципу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результативности в разбивке по годам представлены в приложении 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2.3. Информационное обеспечение" Информирование жителей района о действующих мерах поддержки бизнеса и условиях ее предоставления 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районе, а также о прочих темах,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успешным ведением бизнеса</w:t>
            </w:r>
          </w:p>
        </w:tc>
      </w:tr>
      <w:tr w:rsidR="008258DE" w:rsidTr="008258DE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 и др.);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spacing w:after="0" w:line="23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:rsidR="008258DE" w:rsidRDefault="008258DE" w:rsidP="008258DE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районе</w:t>
      </w:r>
      <w:proofErr w:type="gramEnd"/>
      <w:r>
        <w:rPr>
          <w:rFonts w:ascii="Arial" w:eastAsia="Calibri" w:hAnsi="Arial" w:cs="Arial"/>
          <w:sz w:val="24"/>
          <w:szCs w:val="24"/>
        </w:rPr>
        <w:t>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Подпрограмма 2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Default="008258DE" w:rsidP="008258DE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потенциала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2021-2023 г.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обоснован  положениями об отделах администрации района.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8258DE" w:rsidRDefault="008258DE" w:rsidP="008258DE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и актуализация информации об инвестиционных возможностях и потенциале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информационно-телекоммуникационной сети «Интернет» в разделе «Инвестиции».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 размещается на официальном </w:t>
      </w:r>
      <w:r>
        <w:rPr>
          <w:rFonts w:ascii="Arial" w:hAnsi="Arial" w:cs="Arial"/>
          <w:sz w:val="24"/>
          <w:szCs w:val="24"/>
        </w:rPr>
        <w:lastRenderedPageBreak/>
        <w:t xml:space="preserve">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(http://www.bogotol-r.ru/)  в течение 10 рабочих дней с момента выявления таких земельных участков.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</w:t>
      </w:r>
      <w:proofErr w:type="spellStart"/>
      <w:r>
        <w:rPr>
          <w:rFonts w:ascii="Arial" w:hAnsi="Arial" w:cs="Arial"/>
          <w:sz w:val="24"/>
          <w:szCs w:val="24"/>
        </w:rPr>
        <w:t>реализацииинвестиционный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проект, в подготовке инвестиционных предложений осуществляется отделом экономики и </w:t>
      </w:r>
      <w:proofErr w:type="spellStart"/>
      <w:r>
        <w:rPr>
          <w:rFonts w:ascii="Arial" w:hAnsi="Arial" w:cs="Arial"/>
          <w:sz w:val="24"/>
          <w:szCs w:val="24"/>
        </w:rPr>
        <w:t>планирования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о</w:t>
      </w:r>
      <w:proofErr w:type="gramEnd"/>
      <w:r>
        <w:rPr>
          <w:rFonts w:ascii="Arial" w:eastAsia="Calibri" w:hAnsi="Arial" w:cs="Arial"/>
          <w:sz w:val="24"/>
          <w:szCs w:val="24"/>
        </w:rPr>
        <w:t>тделом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(http://www.bogotol-r.ru/) по мере ее поступления.</w:t>
      </w:r>
    </w:p>
    <w:p w:rsidR="008258DE" w:rsidRDefault="008258DE" w:rsidP="008258DE">
      <w:pPr>
        <w:pStyle w:val="a9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Перечня имущества принятого в муниципальную собственность из числа имущества, признанного  бесхозяйным, предлагаемого потенциальным инвесторам.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 размещается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в течение 10 рабочих дней с момента утверждения Перечня (изменения Перечня) в соответствии с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 г. № 39-292 «Об утверждении Положения о порядке формирования, ведения, дополнения 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опубликования перечня муниципального имущества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>
        <w:rPr>
          <w:rFonts w:ascii="Arial" w:eastAsia="Calibri" w:hAnsi="Arial" w:cs="Arial"/>
          <w:sz w:val="24"/>
          <w:szCs w:val="24"/>
        </w:rPr>
        <w:t>ц(</w:t>
      </w:r>
      <w:proofErr w:type="gramEnd"/>
      <w:r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58DE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соответствующиммероприятиямподпрограммысогласно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раздела 3 «Механизм реализации подпрограммы» подпрограммы осуществляют отдел экономики и планирования и </w:t>
      </w:r>
      <w:r>
        <w:rPr>
          <w:rFonts w:ascii="Arial" w:eastAsia="Calibri" w:hAnsi="Arial" w:cs="Arial"/>
          <w:sz w:val="24"/>
          <w:szCs w:val="24"/>
        </w:rPr>
        <w:t xml:space="preserve">отдел муниципального имущества и </w:t>
      </w:r>
      <w:proofErr w:type="gramStart"/>
      <w:r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отношений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организация 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подпрограммы по  мероприятиям;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достижения  результатов подпрограммы.</w:t>
      </w:r>
    </w:p>
    <w:p w:rsidR="008258DE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10-гоавгустаотчетного года по формам согласно </w:t>
      </w:r>
      <w:r>
        <w:rPr>
          <w:rFonts w:ascii="Arial" w:eastAsia="Calibri" w:hAnsi="Arial" w:cs="Arial"/>
          <w:sz w:val="24"/>
          <w:szCs w:val="24"/>
        </w:rPr>
        <w:t>приложениям № 8 - 11 к Порядку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Годовой отчет представляется в срок не позднее 1 марта года, следующего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8258DE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8258DE" w:rsidRDefault="008258DE" w:rsidP="008258D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8258DE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подпрограммы: 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65"/>
            </w:tblGrid>
            <w:tr w:rsidR="008258DE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8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</w:t>
            </w:r>
            <w:proofErr w:type="gramStart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и(</w:t>
            </w:r>
            <w:proofErr w:type="gramEnd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8258DE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района»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8258DE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4985" w:type="dxa"/>
        <w:tblLayout w:type="fixed"/>
        <w:tblLook w:val="04A0" w:firstRow="1" w:lastRow="0" w:firstColumn="1" w:lastColumn="0" w:noHBand="0" w:noVBand="1"/>
      </w:tblPr>
      <w:tblGrid>
        <w:gridCol w:w="3080"/>
        <w:gridCol w:w="2122"/>
        <w:gridCol w:w="881"/>
        <w:gridCol w:w="825"/>
        <w:gridCol w:w="760"/>
        <w:gridCol w:w="559"/>
        <w:gridCol w:w="776"/>
        <w:gridCol w:w="776"/>
        <w:gridCol w:w="776"/>
        <w:gridCol w:w="2209"/>
        <w:gridCol w:w="2221"/>
      </w:tblGrid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Размещение и актуализация информации об инвестиционных возможностях и потенциале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в информационно-телекоммуникационной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>
              <w:trPr>
                <w:trHeight w:val="1744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</w:t>
                  </w: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дополнительного капитала </w:t>
                  </w:r>
                </w:p>
              </w:tc>
            </w:tr>
          </w:tbl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>
              <w:trPr>
                <w:trHeight w:val="732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в соответствии с современными требованиями законодательства </w:t>
                  </w:r>
                </w:p>
              </w:tc>
            </w:tr>
          </w:tbl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3.Размещение на официальном сайте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/>
    <w:sectPr w:rsidR="008258DE" w:rsidSect="00322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7" w:rsidRDefault="00B83947" w:rsidP="00B83947">
      <w:pPr>
        <w:spacing w:after="0" w:line="240" w:lineRule="auto"/>
      </w:pPr>
      <w:r>
        <w:separator/>
      </w:r>
    </w:p>
  </w:endnote>
  <w:endnote w:type="continuationSeparator" w:id="0">
    <w:p w:rsidR="00B83947" w:rsidRDefault="00B83947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7" w:rsidRDefault="00B83947" w:rsidP="00B83947">
      <w:pPr>
        <w:spacing w:after="0" w:line="240" w:lineRule="auto"/>
      </w:pPr>
      <w:r>
        <w:separator/>
      </w:r>
    </w:p>
  </w:footnote>
  <w:footnote w:type="continuationSeparator" w:id="0">
    <w:p w:rsidR="00B83947" w:rsidRDefault="00B83947" w:rsidP="00B8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7" w:rsidRDefault="00B83947" w:rsidP="00B83947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85863"/>
    <w:rsid w:val="000F626A"/>
    <w:rsid w:val="002117A1"/>
    <w:rsid w:val="00236601"/>
    <w:rsid w:val="002A7F49"/>
    <w:rsid w:val="002D4F32"/>
    <w:rsid w:val="003228A3"/>
    <w:rsid w:val="003A3C8D"/>
    <w:rsid w:val="003C4548"/>
    <w:rsid w:val="00446483"/>
    <w:rsid w:val="004C4460"/>
    <w:rsid w:val="00563DFF"/>
    <w:rsid w:val="005D5267"/>
    <w:rsid w:val="005F650D"/>
    <w:rsid w:val="006905FB"/>
    <w:rsid w:val="006A1FEB"/>
    <w:rsid w:val="006A511B"/>
    <w:rsid w:val="007326E6"/>
    <w:rsid w:val="007358C0"/>
    <w:rsid w:val="007513B7"/>
    <w:rsid w:val="008159E5"/>
    <w:rsid w:val="008258DE"/>
    <w:rsid w:val="00935175"/>
    <w:rsid w:val="009A1555"/>
    <w:rsid w:val="009D171E"/>
    <w:rsid w:val="00A50FCA"/>
    <w:rsid w:val="00A755A3"/>
    <w:rsid w:val="00B229F7"/>
    <w:rsid w:val="00B44078"/>
    <w:rsid w:val="00B83947"/>
    <w:rsid w:val="00CB24C4"/>
    <w:rsid w:val="00CF01BC"/>
    <w:rsid w:val="00D65CBB"/>
    <w:rsid w:val="00D901B8"/>
    <w:rsid w:val="00DE5738"/>
    <w:rsid w:val="00E04A61"/>
    <w:rsid w:val="00EA080A"/>
    <w:rsid w:val="00EE334D"/>
    <w:rsid w:val="00EE6CC5"/>
    <w:rsid w:val="00F72E2A"/>
    <w:rsid w:val="00F90FB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18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7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0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2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3DAA-F942-45F5-BC97-3FE5BAFA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11089</Words>
  <Characters>63210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GLAVOBT</cp:lastModifiedBy>
  <cp:revision>2</cp:revision>
  <cp:lastPrinted>2020-09-11T01:55:00Z</cp:lastPrinted>
  <dcterms:created xsi:type="dcterms:W3CDTF">2021-07-08T09:25:00Z</dcterms:created>
  <dcterms:modified xsi:type="dcterms:W3CDTF">2021-07-08T09:25:00Z</dcterms:modified>
</cp:coreProperties>
</file>